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61961" w14:textId="3937678C" w:rsidR="003729B2" w:rsidRDefault="003729B2" w:rsidP="003729B2">
      <w:pPr>
        <w:pStyle w:val="paragraph"/>
        <w:spacing w:before="0" w:beforeAutospacing="0" w:after="0" w:afterAutospacing="0"/>
        <w:jc w:val="center"/>
        <w:textAlignment w:val="baseline"/>
        <w:rPr>
          <w:rStyle w:val="normaltextrun"/>
          <w:rFonts w:ascii="Arial" w:eastAsiaTheme="majorEastAsia" w:hAnsi="Arial" w:cs="Arial"/>
          <w:b/>
          <w:bCs/>
        </w:rPr>
      </w:pPr>
      <w:r>
        <w:rPr>
          <w:rStyle w:val="normaltextrun"/>
          <w:rFonts w:ascii="Arial" w:eastAsiaTheme="majorEastAsia" w:hAnsi="Arial" w:cs="Arial"/>
          <w:b/>
          <w:bCs/>
        </w:rPr>
        <w:t>ALERTAS TEMPRANAS GUAINÍA</w:t>
      </w:r>
    </w:p>
    <w:p w14:paraId="2A587588" w14:textId="77777777" w:rsidR="003729B2" w:rsidRDefault="003729B2" w:rsidP="003729B2">
      <w:pPr>
        <w:pStyle w:val="paragraph"/>
        <w:spacing w:before="0" w:beforeAutospacing="0" w:after="0" w:afterAutospacing="0"/>
        <w:jc w:val="center"/>
        <w:textAlignment w:val="baseline"/>
        <w:rPr>
          <w:rStyle w:val="normaltextrun"/>
          <w:rFonts w:ascii="Arial" w:eastAsiaTheme="majorEastAsia" w:hAnsi="Arial" w:cs="Arial"/>
          <w:b/>
          <w:bCs/>
        </w:rPr>
      </w:pPr>
    </w:p>
    <w:p w14:paraId="1EA1AD56" w14:textId="77777777" w:rsidR="003729B2" w:rsidRDefault="003729B2" w:rsidP="003729B2">
      <w:pPr>
        <w:pStyle w:val="paragraph"/>
        <w:spacing w:before="0" w:beforeAutospacing="0" w:after="0" w:afterAutospacing="0"/>
        <w:jc w:val="center"/>
        <w:textAlignment w:val="baseline"/>
        <w:rPr>
          <w:rStyle w:val="normaltextrun"/>
          <w:rFonts w:ascii="Arial" w:eastAsiaTheme="majorEastAsia" w:hAnsi="Arial" w:cs="Arial"/>
          <w:b/>
          <w:bCs/>
        </w:rPr>
      </w:pPr>
    </w:p>
    <w:p w14:paraId="3B83884C" w14:textId="77777777" w:rsidR="003729B2" w:rsidRDefault="003729B2" w:rsidP="003729B2">
      <w:pPr>
        <w:pStyle w:val="paragraph"/>
        <w:spacing w:before="0" w:beforeAutospacing="0" w:after="0" w:afterAutospacing="0"/>
        <w:jc w:val="center"/>
        <w:textAlignment w:val="baseline"/>
        <w:rPr>
          <w:rStyle w:val="normaltextrun"/>
          <w:rFonts w:ascii="Arial" w:eastAsiaTheme="majorEastAsia" w:hAnsi="Arial" w:cs="Arial"/>
          <w:b/>
          <w:bCs/>
        </w:rPr>
      </w:pPr>
    </w:p>
    <w:p w14:paraId="40108D19" w14:textId="77777777" w:rsidR="003729B2" w:rsidRDefault="003729B2" w:rsidP="003729B2">
      <w:pPr>
        <w:pStyle w:val="paragraph"/>
        <w:spacing w:before="0" w:beforeAutospacing="0" w:after="0" w:afterAutospacing="0"/>
        <w:jc w:val="center"/>
        <w:textAlignment w:val="baseline"/>
        <w:rPr>
          <w:rStyle w:val="normaltextrun"/>
          <w:rFonts w:ascii="Arial" w:eastAsiaTheme="majorEastAsia" w:hAnsi="Arial" w:cs="Arial"/>
          <w:b/>
          <w:bCs/>
        </w:rPr>
      </w:pPr>
    </w:p>
    <w:p w14:paraId="5601C87B" w14:textId="77777777" w:rsidR="003729B2" w:rsidRDefault="003729B2" w:rsidP="003729B2">
      <w:pPr>
        <w:pStyle w:val="paragraph"/>
        <w:spacing w:before="0" w:beforeAutospacing="0" w:after="0" w:afterAutospacing="0"/>
        <w:jc w:val="center"/>
        <w:textAlignment w:val="baseline"/>
        <w:rPr>
          <w:rStyle w:val="normaltextrun"/>
          <w:rFonts w:ascii="Arial" w:eastAsiaTheme="majorEastAsia" w:hAnsi="Arial" w:cs="Arial"/>
          <w:b/>
          <w:bCs/>
        </w:rPr>
      </w:pPr>
    </w:p>
    <w:p w14:paraId="1D74ECB4" w14:textId="77777777" w:rsidR="003729B2" w:rsidRDefault="003729B2" w:rsidP="003729B2">
      <w:pPr>
        <w:pStyle w:val="paragraph"/>
        <w:spacing w:before="0" w:beforeAutospacing="0" w:after="0" w:afterAutospacing="0"/>
        <w:jc w:val="center"/>
        <w:textAlignment w:val="baseline"/>
        <w:rPr>
          <w:rStyle w:val="normaltextrun"/>
          <w:rFonts w:ascii="Arial" w:eastAsiaTheme="majorEastAsia" w:hAnsi="Arial" w:cs="Arial"/>
          <w:b/>
          <w:bCs/>
        </w:rPr>
      </w:pPr>
    </w:p>
    <w:p w14:paraId="29A97CF3" w14:textId="77777777" w:rsidR="003729B2" w:rsidRPr="003E1B21" w:rsidRDefault="003729B2" w:rsidP="003729B2">
      <w:pPr>
        <w:pStyle w:val="paragraph"/>
        <w:spacing w:before="0" w:beforeAutospacing="0" w:after="0" w:afterAutospacing="0"/>
        <w:jc w:val="center"/>
        <w:textAlignment w:val="baseline"/>
        <w:rPr>
          <w:rFonts w:ascii="Arial" w:hAnsi="Arial" w:cs="Arial"/>
          <w:b/>
          <w:bCs/>
        </w:rPr>
      </w:pPr>
      <w:r w:rsidRPr="003E1B21">
        <w:rPr>
          <w:rStyle w:val="normaltextrun"/>
          <w:rFonts w:ascii="Arial" w:eastAsiaTheme="majorEastAsia" w:hAnsi="Arial" w:cs="Arial"/>
          <w:b/>
          <w:bCs/>
        </w:rPr>
        <w:t>VICTOR HUGO CRISTANCHO GUARIN</w:t>
      </w:r>
    </w:p>
    <w:p w14:paraId="662B3BA9"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b/>
          <w:bCs/>
        </w:rPr>
      </w:pPr>
    </w:p>
    <w:p w14:paraId="239CA3E1"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rPr>
      </w:pPr>
    </w:p>
    <w:p w14:paraId="4B47AE47"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rPr>
      </w:pPr>
    </w:p>
    <w:p w14:paraId="17F5B4D5"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rPr>
      </w:pPr>
    </w:p>
    <w:p w14:paraId="48271D74"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rPr>
      </w:pPr>
    </w:p>
    <w:p w14:paraId="1FA1CF52"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rPr>
      </w:pPr>
    </w:p>
    <w:p w14:paraId="1D9B5103"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rPr>
      </w:pPr>
    </w:p>
    <w:p w14:paraId="6A7F99DB"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rPr>
      </w:pPr>
    </w:p>
    <w:p w14:paraId="3C3E687C"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rPr>
      </w:pPr>
    </w:p>
    <w:p w14:paraId="413B358A" w14:textId="77777777" w:rsidR="003729B2" w:rsidRPr="003E1B21" w:rsidRDefault="003729B2" w:rsidP="003729B2">
      <w:pPr>
        <w:pStyle w:val="paragraph"/>
        <w:spacing w:before="0" w:beforeAutospacing="0" w:after="0" w:afterAutospacing="0"/>
        <w:jc w:val="center"/>
        <w:textAlignment w:val="baseline"/>
        <w:rPr>
          <w:rFonts w:ascii="Arial" w:hAnsi="Arial" w:cs="Arial"/>
        </w:rPr>
      </w:pPr>
      <w:r w:rsidRPr="003E1B21">
        <w:rPr>
          <w:rStyle w:val="normaltextrun"/>
          <w:rFonts w:ascii="Arial" w:eastAsiaTheme="majorEastAsia" w:hAnsi="Arial" w:cs="Arial"/>
        </w:rPr>
        <w:t>Inírida (Guainía)</w:t>
      </w:r>
      <w:r w:rsidRPr="003E1B21">
        <w:rPr>
          <w:rStyle w:val="eop"/>
          <w:rFonts w:ascii="Arial" w:eastAsiaTheme="majorEastAsia" w:hAnsi="Arial" w:cs="Arial"/>
        </w:rPr>
        <w:t> </w:t>
      </w:r>
    </w:p>
    <w:p w14:paraId="1781B678" w14:textId="77777777" w:rsidR="003729B2" w:rsidRPr="003E1B21" w:rsidRDefault="003729B2" w:rsidP="003729B2">
      <w:pPr>
        <w:pStyle w:val="paragraph"/>
        <w:spacing w:before="0" w:beforeAutospacing="0" w:after="0" w:afterAutospacing="0"/>
        <w:jc w:val="center"/>
        <w:textAlignment w:val="baseline"/>
        <w:rPr>
          <w:rFonts w:ascii="Arial" w:hAnsi="Arial" w:cs="Arial"/>
        </w:rPr>
      </w:pPr>
      <w:r w:rsidRPr="003E1B21">
        <w:rPr>
          <w:rStyle w:val="normaltextrun"/>
          <w:rFonts w:ascii="Arial" w:eastAsiaTheme="majorEastAsia" w:hAnsi="Arial" w:cs="Arial"/>
        </w:rPr>
        <w:t>Marco del Proceso de Mapeo Territorializado de Actores</w:t>
      </w:r>
      <w:r w:rsidRPr="003E1B21">
        <w:rPr>
          <w:rStyle w:val="eop"/>
          <w:rFonts w:ascii="Arial" w:eastAsiaTheme="majorEastAsia" w:hAnsi="Arial" w:cs="Arial"/>
        </w:rPr>
        <w:t> </w:t>
      </w:r>
    </w:p>
    <w:p w14:paraId="6641CA12" w14:textId="77777777" w:rsidR="003729B2" w:rsidRPr="003E1B21" w:rsidRDefault="003729B2" w:rsidP="003729B2">
      <w:pPr>
        <w:pStyle w:val="paragraph"/>
        <w:spacing w:before="0" w:beforeAutospacing="0" w:after="0" w:afterAutospacing="0"/>
        <w:jc w:val="center"/>
        <w:textAlignment w:val="baseline"/>
        <w:rPr>
          <w:rFonts w:ascii="Arial" w:hAnsi="Arial" w:cs="Arial"/>
        </w:rPr>
      </w:pPr>
      <w:r w:rsidRPr="003E1B21">
        <w:rPr>
          <w:rStyle w:val="normaltextrun"/>
          <w:rFonts w:ascii="Arial" w:eastAsiaTheme="majorEastAsia" w:hAnsi="Arial" w:cs="Arial"/>
        </w:rPr>
        <w:t>Monitoreo en la Región Amazónica</w:t>
      </w:r>
      <w:r w:rsidRPr="003E1B21">
        <w:rPr>
          <w:rStyle w:val="eop"/>
          <w:rFonts w:ascii="Arial" w:eastAsiaTheme="majorEastAsia" w:hAnsi="Arial" w:cs="Arial"/>
        </w:rPr>
        <w:t> </w:t>
      </w:r>
    </w:p>
    <w:p w14:paraId="04F20263" w14:textId="77777777" w:rsidR="003729B2" w:rsidRPr="003E1B21" w:rsidRDefault="003729B2" w:rsidP="003729B2">
      <w:pPr>
        <w:pStyle w:val="paragraph"/>
        <w:spacing w:before="0" w:beforeAutospacing="0" w:after="0" w:afterAutospacing="0"/>
        <w:jc w:val="center"/>
        <w:textAlignment w:val="baseline"/>
        <w:rPr>
          <w:rFonts w:ascii="Arial" w:hAnsi="Arial" w:cs="Arial"/>
        </w:rPr>
      </w:pPr>
      <w:r w:rsidRPr="003E1B21">
        <w:rPr>
          <w:rStyle w:val="eop"/>
          <w:rFonts w:ascii="Arial" w:eastAsiaTheme="majorEastAsia" w:hAnsi="Arial" w:cs="Arial"/>
        </w:rPr>
        <w:t> </w:t>
      </w:r>
    </w:p>
    <w:p w14:paraId="53524E61" w14:textId="77777777" w:rsidR="003729B2" w:rsidRPr="003E1B21" w:rsidRDefault="003729B2" w:rsidP="003729B2">
      <w:pPr>
        <w:pStyle w:val="paragraph"/>
        <w:spacing w:before="0" w:beforeAutospacing="0" w:after="0" w:afterAutospacing="0"/>
        <w:jc w:val="center"/>
        <w:textAlignment w:val="baseline"/>
        <w:rPr>
          <w:rFonts w:ascii="Arial" w:hAnsi="Arial" w:cs="Arial"/>
        </w:rPr>
      </w:pPr>
      <w:r w:rsidRPr="003E1B21">
        <w:rPr>
          <w:rStyle w:val="eop"/>
          <w:rFonts w:ascii="Arial" w:eastAsiaTheme="majorEastAsia" w:hAnsi="Arial" w:cs="Arial"/>
        </w:rPr>
        <w:t> </w:t>
      </w:r>
    </w:p>
    <w:p w14:paraId="1795C4D8" w14:textId="77777777" w:rsidR="003729B2" w:rsidRPr="003E1B21" w:rsidRDefault="003729B2" w:rsidP="003729B2">
      <w:pPr>
        <w:pStyle w:val="paragraph"/>
        <w:spacing w:before="0" w:beforeAutospacing="0" w:after="0" w:afterAutospacing="0"/>
        <w:jc w:val="center"/>
        <w:textAlignment w:val="baseline"/>
        <w:rPr>
          <w:rFonts w:ascii="Arial" w:hAnsi="Arial" w:cs="Arial"/>
        </w:rPr>
      </w:pPr>
      <w:r w:rsidRPr="003E1B21">
        <w:rPr>
          <w:rStyle w:val="eop"/>
          <w:rFonts w:ascii="Arial" w:eastAsiaTheme="majorEastAsia" w:hAnsi="Arial" w:cs="Arial"/>
        </w:rPr>
        <w:t> </w:t>
      </w:r>
    </w:p>
    <w:p w14:paraId="67AD51A2" w14:textId="77777777" w:rsidR="003729B2" w:rsidRPr="003E1B21" w:rsidRDefault="003729B2" w:rsidP="003729B2">
      <w:pPr>
        <w:pStyle w:val="paragraph"/>
        <w:spacing w:before="0" w:beforeAutospacing="0" w:after="0" w:afterAutospacing="0"/>
        <w:jc w:val="center"/>
        <w:textAlignment w:val="baseline"/>
        <w:rPr>
          <w:rFonts w:ascii="Arial" w:hAnsi="Arial" w:cs="Arial"/>
        </w:rPr>
      </w:pPr>
      <w:r w:rsidRPr="003E1B21">
        <w:rPr>
          <w:rStyle w:val="eop"/>
          <w:rFonts w:ascii="Arial" w:eastAsiaTheme="majorEastAsia" w:hAnsi="Arial" w:cs="Arial"/>
        </w:rPr>
        <w:t> </w:t>
      </w:r>
    </w:p>
    <w:p w14:paraId="7F219268" w14:textId="77777777" w:rsidR="003729B2" w:rsidRPr="003E1B21" w:rsidRDefault="003729B2" w:rsidP="003729B2">
      <w:pPr>
        <w:pStyle w:val="paragraph"/>
        <w:spacing w:before="0" w:beforeAutospacing="0" w:after="0" w:afterAutospacing="0"/>
        <w:jc w:val="center"/>
        <w:textAlignment w:val="baseline"/>
        <w:rPr>
          <w:rFonts w:ascii="Arial" w:hAnsi="Arial" w:cs="Arial"/>
        </w:rPr>
      </w:pPr>
      <w:r w:rsidRPr="003E1B21">
        <w:rPr>
          <w:rStyle w:val="eop"/>
          <w:rFonts w:ascii="Arial" w:eastAsiaTheme="majorEastAsia" w:hAnsi="Arial" w:cs="Arial"/>
        </w:rPr>
        <w:t> </w:t>
      </w:r>
    </w:p>
    <w:p w14:paraId="45FAA8D3" w14:textId="77777777" w:rsidR="003729B2" w:rsidRPr="003E1B21" w:rsidRDefault="003729B2" w:rsidP="003729B2">
      <w:pPr>
        <w:pStyle w:val="paragraph"/>
        <w:spacing w:before="0" w:beforeAutospacing="0" w:after="0" w:afterAutospacing="0"/>
        <w:jc w:val="center"/>
        <w:textAlignment w:val="baseline"/>
        <w:rPr>
          <w:rFonts w:ascii="Arial" w:hAnsi="Arial" w:cs="Arial"/>
        </w:rPr>
      </w:pPr>
      <w:r w:rsidRPr="003E1B21">
        <w:rPr>
          <w:rStyle w:val="eop"/>
          <w:rFonts w:ascii="Arial" w:eastAsiaTheme="majorEastAsia" w:hAnsi="Arial" w:cs="Arial"/>
        </w:rPr>
        <w:t> </w:t>
      </w:r>
    </w:p>
    <w:p w14:paraId="3C2B8909"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rPr>
      </w:pPr>
    </w:p>
    <w:p w14:paraId="6D34E4B3"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rPr>
      </w:pPr>
    </w:p>
    <w:p w14:paraId="52EDAF80" w14:textId="77777777" w:rsidR="003729B2" w:rsidRPr="003E1B21" w:rsidRDefault="003729B2" w:rsidP="003729B2">
      <w:pPr>
        <w:pStyle w:val="paragraph"/>
        <w:spacing w:before="0" w:beforeAutospacing="0" w:after="0" w:afterAutospacing="0"/>
        <w:textAlignment w:val="baseline"/>
        <w:rPr>
          <w:rStyle w:val="normaltextrun"/>
          <w:rFonts w:ascii="Arial" w:eastAsiaTheme="majorEastAsia" w:hAnsi="Arial" w:cs="Arial"/>
        </w:rPr>
      </w:pPr>
    </w:p>
    <w:p w14:paraId="0372A6E2"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rPr>
      </w:pPr>
    </w:p>
    <w:p w14:paraId="6078D65C"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rPr>
      </w:pPr>
    </w:p>
    <w:p w14:paraId="16C47259"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rPr>
      </w:pPr>
    </w:p>
    <w:p w14:paraId="09637B87"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rPr>
      </w:pPr>
    </w:p>
    <w:p w14:paraId="4886B08D"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rPr>
      </w:pPr>
    </w:p>
    <w:p w14:paraId="722FE823"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rPr>
      </w:pPr>
    </w:p>
    <w:p w14:paraId="32E97B87" w14:textId="77777777" w:rsidR="003729B2" w:rsidRPr="003E1B21" w:rsidRDefault="003729B2" w:rsidP="003729B2">
      <w:pPr>
        <w:pStyle w:val="paragraph"/>
        <w:spacing w:before="0" w:beforeAutospacing="0" w:after="0" w:afterAutospacing="0"/>
        <w:jc w:val="center"/>
        <w:textAlignment w:val="baseline"/>
        <w:rPr>
          <w:rStyle w:val="normaltextrun"/>
          <w:rFonts w:ascii="Arial" w:eastAsiaTheme="majorEastAsia" w:hAnsi="Arial" w:cs="Arial"/>
        </w:rPr>
      </w:pPr>
    </w:p>
    <w:p w14:paraId="4234CAC7" w14:textId="77777777" w:rsidR="003729B2" w:rsidRPr="003E1B21" w:rsidRDefault="003729B2" w:rsidP="003729B2">
      <w:pPr>
        <w:pStyle w:val="paragraph"/>
        <w:spacing w:before="0" w:beforeAutospacing="0" w:after="0" w:afterAutospacing="0"/>
        <w:jc w:val="center"/>
        <w:textAlignment w:val="baseline"/>
        <w:rPr>
          <w:rFonts w:ascii="Arial" w:hAnsi="Arial" w:cs="Arial"/>
        </w:rPr>
      </w:pPr>
      <w:r w:rsidRPr="003E1B21">
        <w:rPr>
          <w:rStyle w:val="normaltextrun"/>
          <w:rFonts w:ascii="Arial" w:eastAsiaTheme="majorEastAsia" w:hAnsi="Arial" w:cs="Arial"/>
        </w:rPr>
        <w:t>Ministerio de Minas y Energía</w:t>
      </w:r>
      <w:r w:rsidRPr="003E1B21">
        <w:rPr>
          <w:rStyle w:val="eop"/>
          <w:rFonts w:ascii="Arial" w:eastAsiaTheme="majorEastAsia" w:hAnsi="Arial" w:cs="Arial"/>
        </w:rPr>
        <w:t> </w:t>
      </w:r>
    </w:p>
    <w:p w14:paraId="7E53FADF" w14:textId="77777777" w:rsidR="003729B2" w:rsidRPr="003E1B21" w:rsidRDefault="003729B2" w:rsidP="003729B2">
      <w:pPr>
        <w:pStyle w:val="paragraph"/>
        <w:spacing w:before="0" w:beforeAutospacing="0" w:after="0" w:afterAutospacing="0"/>
        <w:jc w:val="center"/>
        <w:textAlignment w:val="baseline"/>
        <w:rPr>
          <w:rFonts w:ascii="Arial" w:hAnsi="Arial" w:cs="Arial"/>
        </w:rPr>
      </w:pPr>
      <w:r w:rsidRPr="003E1B21">
        <w:rPr>
          <w:rStyle w:val="normaltextrun"/>
          <w:rFonts w:ascii="Arial" w:eastAsiaTheme="majorEastAsia" w:hAnsi="Arial" w:cs="Arial"/>
        </w:rPr>
        <w:t>Viceministerio de Minas</w:t>
      </w:r>
      <w:r w:rsidRPr="003E1B21">
        <w:rPr>
          <w:rStyle w:val="eop"/>
          <w:rFonts w:ascii="Arial" w:eastAsiaTheme="majorEastAsia" w:hAnsi="Arial" w:cs="Arial"/>
        </w:rPr>
        <w:t> </w:t>
      </w:r>
    </w:p>
    <w:p w14:paraId="76CC4142" w14:textId="77777777" w:rsidR="003729B2" w:rsidRPr="003E1B21" w:rsidRDefault="003729B2" w:rsidP="003729B2">
      <w:pPr>
        <w:pStyle w:val="paragraph"/>
        <w:spacing w:before="0" w:beforeAutospacing="0" w:after="0" w:afterAutospacing="0"/>
        <w:jc w:val="center"/>
        <w:textAlignment w:val="baseline"/>
        <w:rPr>
          <w:rStyle w:val="eop"/>
          <w:rFonts w:ascii="Arial" w:eastAsiaTheme="majorEastAsia" w:hAnsi="Arial" w:cs="Arial"/>
        </w:rPr>
      </w:pPr>
      <w:r w:rsidRPr="003E1B21">
        <w:rPr>
          <w:rStyle w:val="normaltextrun"/>
          <w:rFonts w:ascii="Arial" w:eastAsiaTheme="majorEastAsia" w:hAnsi="Arial" w:cs="Arial"/>
        </w:rPr>
        <w:t>Sala de Monitoreo</w:t>
      </w:r>
      <w:r w:rsidRPr="003E1B21">
        <w:rPr>
          <w:rStyle w:val="eop"/>
          <w:rFonts w:ascii="Arial" w:eastAsiaTheme="majorEastAsia" w:hAnsi="Arial" w:cs="Arial"/>
        </w:rPr>
        <w:t> </w:t>
      </w:r>
    </w:p>
    <w:p w14:paraId="14F071BF" w14:textId="77777777" w:rsidR="003729B2" w:rsidRPr="003E1B21" w:rsidRDefault="003729B2" w:rsidP="003729B2">
      <w:pPr>
        <w:pStyle w:val="paragraph"/>
        <w:spacing w:before="0" w:beforeAutospacing="0" w:after="0" w:afterAutospacing="0"/>
        <w:jc w:val="center"/>
        <w:textAlignment w:val="baseline"/>
        <w:rPr>
          <w:rFonts w:ascii="Arial" w:hAnsi="Arial" w:cs="Arial"/>
        </w:rPr>
      </w:pPr>
      <w:r w:rsidRPr="003E1B21">
        <w:rPr>
          <w:rStyle w:val="normaltextrun"/>
          <w:rFonts w:ascii="Arial" w:eastAsiaTheme="majorEastAsia" w:hAnsi="Arial" w:cs="Arial"/>
        </w:rPr>
        <w:t>Inírida (Guainía)</w:t>
      </w:r>
      <w:r w:rsidRPr="003E1B21">
        <w:rPr>
          <w:rStyle w:val="eop"/>
          <w:rFonts w:ascii="Arial" w:eastAsiaTheme="majorEastAsia" w:hAnsi="Arial" w:cs="Arial"/>
        </w:rPr>
        <w:t> </w:t>
      </w:r>
    </w:p>
    <w:p w14:paraId="096D8638" w14:textId="2393E68A" w:rsidR="003729B2" w:rsidRPr="003729B2" w:rsidRDefault="003729B2" w:rsidP="003729B2">
      <w:pPr>
        <w:pStyle w:val="paragraph"/>
        <w:spacing w:before="0" w:beforeAutospacing="0" w:after="0" w:afterAutospacing="0"/>
        <w:jc w:val="center"/>
        <w:textAlignment w:val="baseline"/>
        <w:rPr>
          <w:rFonts w:ascii="Arial" w:hAnsi="Arial" w:cs="Arial"/>
        </w:rPr>
      </w:pPr>
      <w:r w:rsidRPr="003E1B21">
        <w:rPr>
          <w:rStyle w:val="eop"/>
          <w:rFonts w:ascii="Arial" w:eastAsiaTheme="majorEastAsia" w:hAnsi="Arial" w:cs="Arial"/>
        </w:rPr>
        <w:t>2026 </w:t>
      </w:r>
    </w:p>
    <w:p w14:paraId="4FE3FE32" w14:textId="77777777" w:rsidR="003729B2" w:rsidRDefault="003729B2" w:rsidP="003729B2">
      <w:pPr>
        <w:spacing w:after="100" w:afterAutospacing="1" w:line="240" w:lineRule="auto"/>
        <w:rPr>
          <w:rFonts w:ascii="Arial 12" w:eastAsia="Times New Roman" w:hAnsi="Arial 12" w:cs="Arial"/>
          <w:kern w:val="0"/>
          <w:sz w:val="24"/>
          <w:szCs w:val="24"/>
          <w:lang w:eastAsia="es-CO"/>
          <w14:ligatures w14:val="none"/>
        </w:rPr>
      </w:pPr>
    </w:p>
    <w:p w14:paraId="26DA4D50" w14:textId="77777777" w:rsidR="0088174D" w:rsidRDefault="0088174D" w:rsidP="003729B2">
      <w:pPr>
        <w:spacing w:after="100" w:afterAutospacing="1" w:line="240" w:lineRule="auto"/>
        <w:rPr>
          <w:rFonts w:ascii="Arial 12" w:eastAsia="Times New Roman" w:hAnsi="Arial 12" w:cs="Arial"/>
          <w:kern w:val="0"/>
          <w:sz w:val="24"/>
          <w:szCs w:val="24"/>
          <w:lang w:eastAsia="es-CO"/>
          <w14:ligatures w14:val="none"/>
        </w:rPr>
      </w:pPr>
    </w:p>
    <w:p w14:paraId="3D397C24" w14:textId="77777777" w:rsidR="0088174D" w:rsidRDefault="0088174D" w:rsidP="003729B2">
      <w:pPr>
        <w:spacing w:after="100" w:afterAutospacing="1" w:line="240" w:lineRule="auto"/>
        <w:rPr>
          <w:rFonts w:ascii="Arial 12" w:eastAsia="Times New Roman" w:hAnsi="Arial 12" w:cs="Arial"/>
          <w:kern w:val="0"/>
          <w:sz w:val="24"/>
          <w:szCs w:val="24"/>
          <w:lang w:eastAsia="es-CO"/>
          <w14:ligatures w14:val="none"/>
        </w:rPr>
      </w:pPr>
    </w:p>
    <w:p w14:paraId="2B7F58E2" w14:textId="77777777" w:rsidR="0088174D" w:rsidRDefault="0088174D" w:rsidP="003729B2">
      <w:pPr>
        <w:spacing w:after="100" w:afterAutospacing="1" w:line="240" w:lineRule="auto"/>
        <w:rPr>
          <w:rFonts w:ascii="Arial 12" w:eastAsia="Times New Roman" w:hAnsi="Arial 12" w:cs="Arial"/>
          <w:kern w:val="0"/>
          <w:sz w:val="24"/>
          <w:szCs w:val="24"/>
          <w:lang w:eastAsia="es-CO"/>
          <w14:ligatures w14:val="none"/>
        </w:rPr>
      </w:pPr>
    </w:p>
    <w:p w14:paraId="46A1E2A6" w14:textId="615C42E6" w:rsidR="003729B2" w:rsidRDefault="003729B2" w:rsidP="003729B2">
      <w:p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kern w:val="0"/>
          <w:sz w:val="24"/>
          <w:szCs w:val="24"/>
          <w:lang w:eastAsia="es-CO"/>
          <w14:ligatures w14:val="none"/>
        </w:rPr>
        <w:t xml:space="preserve">TEMPRANA </w:t>
      </w:r>
      <w:proofErr w:type="spellStart"/>
      <w:r w:rsidRPr="003729B2">
        <w:rPr>
          <w:rFonts w:ascii="Arial 12" w:eastAsia="Times New Roman" w:hAnsi="Arial 12" w:cs="Arial"/>
          <w:kern w:val="0"/>
          <w:sz w:val="24"/>
          <w:szCs w:val="24"/>
          <w:lang w:eastAsia="es-CO"/>
          <w14:ligatures w14:val="none"/>
        </w:rPr>
        <w:t>N°</w:t>
      </w:r>
      <w:proofErr w:type="spellEnd"/>
      <w:r w:rsidRPr="003729B2">
        <w:rPr>
          <w:rFonts w:ascii="Arial 12" w:eastAsia="Times New Roman" w:hAnsi="Arial 12" w:cs="Arial"/>
          <w:kern w:val="0"/>
          <w:sz w:val="24"/>
          <w:szCs w:val="24"/>
          <w:lang w:eastAsia="es-CO"/>
          <w14:ligatures w14:val="none"/>
        </w:rPr>
        <w:t xml:space="preserve"> 008-2026 - DE INMINENCIA1 Fecha: </w:t>
      </w:r>
      <w:proofErr w:type="gramStart"/>
      <w:r w:rsidRPr="003729B2">
        <w:rPr>
          <w:rFonts w:ascii="Arial 12" w:eastAsia="Times New Roman" w:hAnsi="Arial 12" w:cs="Arial"/>
          <w:kern w:val="0"/>
          <w:sz w:val="24"/>
          <w:szCs w:val="24"/>
          <w:lang w:eastAsia="es-CO"/>
          <w14:ligatures w14:val="none"/>
        </w:rPr>
        <w:t>Marzo</w:t>
      </w:r>
      <w:proofErr w:type="gramEnd"/>
      <w:r w:rsidRPr="003729B2">
        <w:rPr>
          <w:rFonts w:ascii="Arial 12" w:eastAsia="Times New Roman" w:hAnsi="Arial 12" w:cs="Arial"/>
          <w:kern w:val="0"/>
          <w:sz w:val="24"/>
          <w:szCs w:val="24"/>
          <w:lang w:eastAsia="es-CO"/>
          <w14:ligatures w14:val="none"/>
        </w:rPr>
        <w:t xml:space="preserve"> 6 de 2026</w:t>
      </w:r>
    </w:p>
    <w:p w14:paraId="51CB29FD" w14:textId="172D79AF" w:rsidR="003729B2" w:rsidRPr="003729B2" w:rsidRDefault="003729B2" w:rsidP="003729B2">
      <w:p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kern w:val="0"/>
          <w:sz w:val="24"/>
          <w:szCs w:val="24"/>
          <w:lang w:eastAsia="es-CO"/>
          <w14:ligatures w14:val="none"/>
        </w:rPr>
        <w:t>La</w:t>
      </w:r>
      <w:r w:rsidRPr="003729B2">
        <w:rPr>
          <w:rFonts w:ascii="Arial 12" w:eastAsia="Times New Roman" w:hAnsi="Arial 12" w:cs="Arial"/>
          <w:kern w:val="0"/>
          <w:sz w:val="24"/>
          <w:szCs w:val="24"/>
          <w:lang w:eastAsia="es-CO"/>
          <w14:ligatures w14:val="none"/>
        </w:rPr>
        <w:t xml:space="preserve"> conservación de la biodiversidad, la proliferación de actividades extractivas de carácter minero y el impacto </w:t>
      </w:r>
      <w:proofErr w:type="spellStart"/>
      <w:r w:rsidRPr="003729B2">
        <w:rPr>
          <w:rFonts w:ascii="Arial 12" w:eastAsia="Times New Roman" w:hAnsi="Arial 12" w:cs="Arial"/>
          <w:kern w:val="0"/>
          <w:sz w:val="24"/>
          <w:szCs w:val="24"/>
          <w:lang w:eastAsia="es-CO"/>
          <w14:ligatures w14:val="none"/>
        </w:rPr>
        <w:t>sociohumanitario</w:t>
      </w:r>
      <w:proofErr w:type="spellEnd"/>
      <w:r w:rsidRPr="003729B2">
        <w:rPr>
          <w:rFonts w:ascii="Arial 12" w:eastAsia="Times New Roman" w:hAnsi="Arial 12" w:cs="Arial"/>
          <w:kern w:val="0"/>
          <w:sz w:val="24"/>
          <w:szCs w:val="24"/>
          <w:lang w:eastAsia="es-CO"/>
          <w14:ligatures w14:val="none"/>
        </w:rPr>
        <w:t xml:space="preserve"> en comunidades ancestrales constituye uno de los desafíos contemporáneos más complejos en el ámbito del desarrollo sostenible y los derechos humanos. Históricamente, las regiones caracterizadas por una densa riqueza biológica y una amplia cobertura de ecosistemas estratégicos —como selvas tropicales y zonas de sabana— han sido objeto de un persistente aislamiento geopolítico. Esta falta de control institucional efectivo por parte de las estructuras estatales transforma los territorios en escenarios propicios para el establecimiento de economías ilegales, donde la extracción no regulada de recursos minerales actúa como el principal motor de degradación ambiental y desestructuración comunitaria. </w:t>
      </w:r>
    </w:p>
    <w:p w14:paraId="7A16C179" w14:textId="77777777" w:rsidR="003729B2" w:rsidRPr="003729B2" w:rsidRDefault="003729B2" w:rsidP="003729B2">
      <w:p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kern w:val="0"/>
          <w:sz w:val="24"/>
          <w:szCs w:val="24"/>
          <w:lang w:eastAsia="es-CO"/>
          <w14:ligatures w14:val="none"/>
        </w:rPr>
        <w:t xml:space="preserve">En contextos periféricos y transfronterizos, la convergencia de estos factores adquiere una dimensión crítica. La vulnerabilidad de los ecosistemas no solo se mide en términos de deforestación o pérdida de especies endémicas, sino en la erosión sistemática de la soberanía alimentaria, la salud pública y la autonomía cultural de las poblaciones humanas que coexisten con dicho entorno. El presente documento analiza de forma multidimensional cómo la minería a gran y pequeña escala altera el equilibrio ecológico, cómo las dinámicas de grupos armados no estatales instrumentalizan estas rentas criminales para consolidar órdenes de facto, y de qué manera la exposición a agentes químicos y el control social derivado de la extracción vulneran los derechos individuales y colectivos de las comunidades étnicas. </w:t>
      </w:r>
    </w:p>
    <w:p w14:paraId="560934BE" w14:textId="77777777" w:rsidR="003729B2" w:rsidRPr="003729B2" w:rsidRDefault="003729B2" w:rsidP="003729B2">
      <w:pPr>
        <w:spacing w:after="100" w:afterAutospacing="1" w:line="240" w:lineRule="auto"/>
        <w:outlineLvl w:val="3"/>
        <w:rPr>
          <w:rFonts w:ascii="Arial 12" w:eastAsia="Times New Roman" w:hAnsi="Arial 12" w:cs="Arial"/>
          <w:b/>
          <w:bCs/>
          <w:kern w:val="0"/>
          <w:sz w:val="24"/>
          <w:szCs w:val="24"/>
          <w:lang w:eastAsia="es-CO"/>
          <w14:ligatures w14:val="none"/>
        </w:rPr>
      </w:pPr>
      <w:r w:rsidRPr="003729B2">
        <w:rPr>
          <w:rFonts w:ascii="Arial 12" w:eastAsia="Times New Roman" w:hAnsi="Arial 12" w:cs="Arial"/>
          <w:b/>
          <w:bCs/>
          <w:kern w:val="0"/>
          <w:sz w:val="24"/>
          <w:szCs w:val="24"/>
          <w:lang w:eastAsia="es-CO"/>
          <w14:ligatures w14:val="none"/>
        </w:rPr>
        <w:t>2. Ecosistemas Estratégicos y Biodiversidad en Regiones Periféricas</w:t>
      </w:r>
    </w:p>
    <w:p w14:paraId="3A394B8B" w14:textId="77777777" w:rsidR="003729B2" w:rsidRPr="003729B2" w:rsidRDefault="003729B2" w:rsidP="003729B2">
      <w:p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kern w:val="0"/>
          <w:sz w:val="24"/>
          <w:szCs w:val="24"/>
          <w:lang w:eastAsia="es-CO"/>
          <w14:ligatures w14:val="none"/>
        </w:rPr>
        <w:t xml:space="preserve">Las zonas de especial significación ambiental se definen por su alta conectividad hídrica y su vasta extensión de cobertura forestal. Geográficamente, áreas que superan el 98% de su extensión en bosques y sabanas albergan sistemas fluviales navegables que actúan como reguladores climáticos y ejes de movilidad natural. Estos territorios, por sus características edáficas y geológicas, poseen un atractivo dual: por un lado, concentran una fauna y flora exóticas indispensables para la resiliencia climática global; por el otro, albergan importantes depósitos de tierras raras y recursos minerales de alto valor en el mercado internacional, tales como el oro, el coltán, el cobalto y el estaño. </w:t>
      </w:r>
    </w:p>
    <w:p w14:paraId="4313EA43" w14:textId="77777777" w:rsidR="003729B2" w:rsidRPr="003729B2" w:rsidRDefault="003729B2" w:rsidP="003729B2">
      <w:p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kern w:val="0"/>
          <w:sz w:val="24"/>
          <w:szCs w:val="24"/>
          <w:lang w:eastAsia="es-CO"/>
          <w14:ligatures w14:val="none"/>
        </w:rPr>
        <w:t xml:space="preserve">La biodiversidad en estas regiones no puede entenderse de forma disociada de sus habitantes originarios. Los pueblos indígenas y las comunidades rurales han desarrollado, a través de procesos históricos de adaptación, un relacionamiento simbiótico con el suelo y los ríos, estructurando prácticas de economía tradicional basadas en el uso colectivo de la tierra, la caza, la pesca y la agricultura de baja intensidad (como el sistema de conucos o chagras). No obstante, la misma configuración geográfica que permite el florecimiento de esta biodiversidad impone </w:t>
      </w:r>
      <w:r w:rsidRPr="003729B2">
        <w:rPr>
          <w:rFonts w:ascii="Arial 12" w:eastAsia="Times New Roman" w:hAnsi="Arial 12" w:cs="Arial"/>
          <w:kern w:val="0"/>
          <w:sz w:val="24"/>
          <w:szCs w:val="24"/>
          <w:lang w:eastAsia="es-CO"/>
          <w14:ligatures w14:val="none"/>
        </w:rPr>
        <w:lastRenderedPageBreak/>
        <w:t xml:space="preserve">un desafío estructural para la gobernanza estatal. La alta dispersión de la población y las dificultades logísticas limitan la capacidad de respuesta rápida e intermitente de las instituciones públicas, dejando la protección de estos ecosistemas supeditada a las capacidades locales de autogobierno. </w:t>
      </w:r>
    </w:p>
    <w:p w14:paraId="4E956DE1" w14:textId="77777777" w:rsidR="003729B2" w:rsidRPr="003729B2" w:rsidRDefault="003729B2" w:rsidP="003729B2">
      <w:pPr>
        <w:spacing w:after="100" w:afterAutospacing="1" w:line="240" w:lineRule="auto"/>
        <w:outlineLvl w:val="3"/>
        <w:rPr>
          <w:rFonts w:ascii="Arial 12" w:eastAsia="Times New Roman" w:hAnsi="Arial 12" w:cs="Arial"/>
          <w:b/>
          <w:bCs/>
          <w:kern w:val="0"/>
          <w:sz w:val="24"/>
          <w:szCs w:val="24"/>
          <w:lang w:eastAsia="es-CO"/>
          <w14:ligatures w14:val="none"/>
        </w:rPr>
      </w:pPr>
      <w:r w:rsidRPr="003729B2">
        <w:rPr>
          <w:rFonts w:ascii="Arial 12" w:eastAsia="Times New Roman" w:hAnsi="Arial 12" w:cs="Arial"/>
          <w:b/>
          <w:bCs/>
          <w:kern w:val="0"/>
          <w:sz w:val="24"/>
          <w:szCs w:val="24"/>
          <w:lang w:eastAsia="es-CO"/>
          <w14:ligatures w14:val="none"/>
        </w:rPr>
        <w:t>3. Dinámicas Extractivas y Minería en Contextos de Conflicto</w:t>
      </w:r>
    </w:p>
    <w:p w14:paraId="55A535F7" w14:textId="77777777" w:rsidR="003729B2" w:rsidRPr="003729B2" w:rsidRDefault="003729B2" w:rsidP="003729B2">
      <w:p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kern w:val="0"/>
          <w:sz w:val="24"/>
          <w:szCs w:val="24"/>
          <w:lang w:eastAsia="es-CO"/>
          <w14:ligatures w14:val="none"/>
        </w:rPr>
        <w:t xml:space="preserve">La explotación minera en territorios biodiversos rara vez ocurre en un vacío político o social. En regiones de frontera natural, donde confluyen los límites de múltiples naciones, la precariedad del control territorial por parte de los Estados soberanos es capitalizada por Grupos Armados Organizados (GAO) y estructuras criminales transnacionales. Estos actores transforman el territorio biológico en zonas de refugio, centros logísticos y, fundamentalmente, en fuentes de financiación ilegal mediante la explotación sistemática de los recursos del subsuelo y de las cuencas hidrográficas. </w:t>
      </w:r>
    </w:p>
    <w:p w14:paraId="3E142DC8" w14:textId="77777777" w:rsidR="003729B2" w:rsidRPr="003729B2" w:rsidRDefault="003729B2" w:rsidP="003729B2">
      <w:p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kern w:val="0"/>
          <w:sz w:val="24"/>
          <w:szCs w:val="24"/>
          <w:lang w:eastAsia="es-CO"/>
          <w14:ligatures w14:val="none"/>
        </w:rPr>
        <w:t xml:space="preserve">La minería ilegal en estos entornos se manifiesta a través de dos modalidades principales: la apertura de minas terrestres en zonas selváticas y el posicionamiento de dragas en las cuencas de los grandes ríos. Estas actividades destruyen de forma irreversible la cobertura vegetal, alteran los cursos hídricos y provocan la sedimentación de los ríos, rompiendo los ciclos de reproducción de las especies acuáticas. Financieramente, la extracción de oro y minerales estratégicos genera redes de criminalidad que se entrelazan con el narcotráfico y la exacción (cobro de vacunas o peajes) a lo largo de las rutas fluviales, consolidando la presencia de frentes armados que disputan de forma violenta el control de los enclaves mineros. Cuando se rompe la coexistencia o connivencia armada entre facciones rivales, el territorio experimenta una transición hacia la confrontación abierta y el intento de consolidación hegemónica por parte de un solo actor, lo que recrudece la presión sobre el entorno natural y las poblaciones locales. </w:t>
      </w:r>
    </w:p>
    <w:p w14:paraId="272D1E76" w14:textId="77777777" w:rsidR="003729B2" w:rsidRPr="003729B2" w:rsidRDefault="003729B2" w:rsidP="003729B2">
      <w:pPr>
        <w:spacing w:after="100" w:afterAutospacing="1" w:line="240" w:lineRule="auto"/>
        <w:outlineLvl w:val="3"/>
        <w:rPr>
          <w:rFonts w:ascii="Arial 12" w:eastAsia="Times New Roman" w:hAnsi="Arial 12" w:cs="Arial"/>
          <w:b/>
          <w:bCs/>
          <w:kern w:val="0"/>
          <w:sz w:val="24"/>
          <w:szCs w:val="24"/>
          <w:lang w:eastAsia="es-CO"/>
          <w14:ligatures w14:val="none"/>
        </w:rPr>
      </w:pPr>
      <w:r w:rsidRPr="003729B2">
        <w:rPr>
          <w:rFonts w:ascii="Arial 12" w:eastAsia="Times New Roman" w:hAnsi="Arial 12" w:cs="Arial"/>
          <w:b/>
          <w:bCs/>
          <w:kern w:val="0"/>
          <w:sz w:val="24"/>
          <w:szCs w:val="24"/>
          <w:lang w:eastAsia="es-CO"/>
          <w14:ligatures w14:val="none"/>
        </w:rPr>
        <w:t>4. Afectación Humana: Impactos en la Salud, la Sociedad y los Derechos Colectivos</w:t>
      </w:r>
    </w:p>
    <w:p w14:paraId="08F64F51" w14:textId="77777777" w:rsidR="003729B2" w:rsidRPr="003729B2" w:rsidRDefault="003729B2" w:rsidP="003729B2">
      <w:p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kern w:val="0"/>
          <w:sz w:val="24"/>
          <w:szCs w:val="24"/>
          <w:lang w:eastAsia="es-CO"/>
          <w14:ligatures w14:val="none"/>
        </w:rPr>
        <w:t>El impacto humanitario derivado de la minería en zonas de conflicto es multidimensional y se analiza desde perspectivas epidemiológicas, sociales y culturales:</w:t>
      </w:r>
    </w:p>
    <w:p w14:paraId="6C4D7D9C" w14:textId="77777777" w:rsidR="003729B2" w:rsidRPr="003729B2" w:rsidRDefault="003729B2" w:rsidP="003729B2">
      <w:pPr>
        <w:numPr>
          <w:ilvl w:val="0"/>
          <w:numId w:val="1"/>
        </w:num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b/>
          <w:bCs/>
          <w:kern w:val="0"/>
          <w:sz w:val="24"/>
          <w:szCs w:val="24"/>
          <w:lang w:eastAsia="es-CO"/>
          <w14:ligatures w14:val="none"/>
        </w:rPr>
        <w:t>Impacto en la Salud Pública y Toxicología Ambiental:</w:t>
      </w:r>
      <w:r w:rsidRPr="003729B2">
        <w:rPr>
          <w:rFonts w:ascii="Arial 12" w:eastAsia="Times New Roman" w:hAnsi="Arial 12" w:cs="Arial"/>
          <w:kern w:val="0"/>
          <w:sz w:val="24"/>
          <w:szCs w:val="24"/>
          <w:lang w:eastAsia="es-CO"/>
          <w14:ligatures w14:val="none"/>
        </w:rPr>
        <w:t xml:space="preserve"> El uso sistemático de métodos extractivos nocivos introduce metales pesados en las cadenas tróficas. La utilización del mercurio en la minería de aluvión contamina las fuentes de agua utilizadas para el consumo humano y la pesca de subsistencia. De acuerdo con estándares de la Organización Mundial de la Salud (OMS), la exposición prolongada a estos agentes químicos genera niveles de toxicidad superiores a los considerados seguros, manifestándose en patologías neurológicas, malformaciones congénitas y un deterioro crónico de la salud de las poblaciones ribereñas, las cuales carecen </w:t>
      </w:r>
      <w:r w:rsidRPr="003729B2">
        <w:rPr>
          <w:rFonts w:ascii="Arial 12" w:eastAsia="Times New Roman" w:hAnsi="Arial 12" w:cs="Arial"/>
          <w:kern w:val="0"/>
          <w:sz w:val="24"/>
          <w:szCs w:val="24"/>
          <w:lang w:eastAsia="es-CO"/>
          <w14:ligatures w14:val="none"/>
        </w:rPr>
        <w:lastRenderedPageBreak/>
        <w:t xml:space="preserve">además de una infraestructura sanitaria y de personal médico idóneo para su atención. </w:t>
      </w:r>
    </w:p>
    <w:p w14:paraId="73D8C9CC" w14:textId="77777777" w:rsidR="003729B2" w:rsidRPr="003729B2" w:rsidRDefault="003729B2" w:rsidP="003729B2">
      <w:pPr>
        <w:numPr>
          <w:ilvl w:val="0"/>
          <w:numId w:val="1"/>
        </w:num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b/>
          <w:bCs/>
          <w:kern w:val="0"/>
          <w:sz w:val="24"/>
          <w:szCs w:val="24"/>
          <w:lang w:eastAsia="es-CO"/>
          <w14:ligatures w14:val="none"/>
        </w:rPr>
        <w:t>Erosión de la Autonomía y Gobernanza Propia:</w:t>
      </w:r>
      <w:r w:rsidRPr="003729B2">
        <w:rPr>
          <w:rFonts w:ascii="Arial 12" w:eastAsia="Times New Roman" w:hAnsi="Arial 12" w:cs="Arial"/>
          <w:kern w:val="0"/>
          <w:sz w:val="24"/>
          <w:szCs w:val="24"/>
          <w:lang w:eastAsia="es-CO"/>
          <w14:ligatures w14:val="none"/>
        </w:rPr>
        <w:t xml:space="preserve"> La presencia de estructuras armadas ligadas a la minería impone marcos normativos de facto que desplazan la normatividad constitucional y las formas tradicionales de gobierno propio de las comunidades étnicas. Las autoridades tradicionales e indígenas ven restringida su capacidad operativa y su jurisdicción especial, siendo subordinadas de forma coercitiva mediante mecanismos de gobernanza armada ilegal. Esto se traduce en el control social estructural, la regulación de la vida cotidiana y la manipulación de procesos comunitarios. </w:t>
      </w:r>
    </w:p>
    <w:p w14:paraId="5EC28853" w14:textId="77777777" w:rsidR="003729B2" w:rsidRPr="003729B2" w:rsidRDefault="003729B2" w:rsidP="003729B2">
      <w:pPr>
        <w:numPr>
          <w:ilvl w:val="0"/>
          <w:numId w:val="1"/>
        </w:num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b/>
          <w:bCs/>
          <w:kern w:val="0"/>
          <w:sz w:val="24"/>
          <w:szCs w:val="24"/>
          <w:lang w:eastAsia="es-CO"/>
          <w14:ligatures w14:val="none"/>
        </w:rPr>
        <w:t>Restricciones a la Movilidad y Soberanía Alimentaria:</w:t>
      </w:r>
      <w:r w:rsidRPr="003729B2">
        <w:rPr>
          <w:rFonts w:ascii="Arial 12" w:eastAsia="Times New Roman" w:hAnsi="Arial 12" w:cs="Arial"/>
          <w:kern w:val="0"/>
          <w:sz w:val="24"/>
          <w:szCs w:val="24"/>
          <w:lang w:eastAsia="es-CO"/>
          <w14:ligatures w14:val="none"/>
        </w:rPr>
        <w:t xml:space="preserve"> El control criminal sobre los corredores fluviales y las rutas comerciales altera drásticamente los ciclos tradicionales de subsistencia. Al imponerse horarios de pesca, restricciones para acceder a las zonas de cultivo (chagras o conucos) y prohibiciones de circulación, se genera un escenario de desabastecimiento crítico de alimentos tanto locales como foráneos. Esta situación degrada la seguridad alimentaria comunitaria, impactando de forma diferencial la nutrición de niños, niñas, adolescentes y adultos mayores. </w:t>
      </w:r>
    </w:p>
    <w:p w14:paraId="3403906D" w14:textId="77777777" w:rsidR="003729B2" w:rsidRPr="003729B2" w:rsidRDefault="003729B2" w:rsidP="003729B2">
      <w:pPr>
        <w:numPr>
          <w:ilvl w:val="0"/>
          <w:numId w:val="2"/>
        </w:num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b/>
          <w:bCs/>
          <w:kern w:val="0"/>
          <w:sz w:val="24"/>
          <w:szCs w:val="24"/>
          <w:lang w:eastAsia="es-CO"/>
          <w14:ligatures w14:val="none"/>
        </w:rPr>
        <w:t>Vulneraciones Graves a los Derechos Humanos y al DIH:</w:t>
      </w:r>
      <w:r w:rsidRPr="003729B2">
        <w:rPr>
          <w:rFonts w:ascii="Arial 12" w:eastAsia="Times New Roman" w:hAnsi="Arial 12" w:cs="Arial"/>
          <w:kern w:val="0"/>
          <w:sz w:val="24"/>
          <w:szCs w:val="24"/>
          <w:lang w:eastAsia="es-CO"/>
          <w14:ligatures w14:val="none"/>
        </w:rPr>
        <w:t xml:space="preserve"> La consolidación de economías mineras ilegales intensifica los riesgos de confinamiento comunitario, amenazas selectivas, desplazamientos forzados (tanto individuales como masivos) y homicidios. Asimismo, se incrementa de forma alarmante el riesgo de reclutamiento forzado, utilización y adoctrinamiento de niños, niñas y adolescentes (NNA) por parte de los grupos armados, quienes instrumentalizan a los menores en entornos escolares y comunitarios dañando el tejido familiar y social. </w:t>
      </w:r>
    </w:p>
    <w:p w14:paraId="07C87181" w14:textId="77777777" w:rsidR="003729B2" w:rsidRPr="003729B2" w:rsidRDefault="003729B2" w:rsidP="003729B2">
      <w:pPr>
        <w:numPr>
          <w:ilvl w:val="0"/>
          <w:numId w:val="2"/>
        </w:num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b/>
          <w:bCs/>
          <w:kern w:val="0"/>
          <w:sz w:val="24"/>
          <w:szCs w:val="24"/>
          <w:lang w:eastAsia="es-CO"/>
          <w14:ligatures w14:val="none"/>
        </w:rPr>
        <w:t>Enfoque de Género y Poblaciones Vulnerables:</w:t>
      </w:r>
      <w:r w:rsidRPr="003729B2">
        <w:rPr>
          <w:rFonts w:ascii="Arial 12" w:eastAsia="Times New Roman" w:hAnsi="Arial 12" w:cs="Arial"/>
          <w:kern w:val="0"/>
          <w:sz w:val="24"/>
          <w:szCs w:val="24"/>
          <w:lang w:eastAsia="es-CO"/>
          <w14:ligatures w14:val="none"/>
        </w:rPr>
        <w:t xml:space="preserve"> La dinámica extractiva y armada reconfigura de manera negativa las estructuras comunitarias, generando impactos diferenciados en mujeres indígenas y poblaciones con orientaciones sexuales e identidades de género no hegemónicas. Se imponen conductas coercitivas que restringen el liderazgo femenino, limitan su participación política en espacios de decisión y truncan las prácticas culturales tradicionalmente asociadas al rol de la mujer, tales como la medicina tradicional y la transmisión intergeneracional de usos y costumbres. </w:t>
      </w:r>
    </w:p>
    <w:p w14:paraId="2FB7156A" w14:textId="77777777" w:rsidR="003729B2" w:rsidRPr="003729B2" w:rsidRDefault="003729B2" w:rsidP="003729B2">
      <w:pPr>
        <w:spacing w:after="100" w:afterAutospacing="1" w:line="240" w:lineRule="auto"/>
        <w:outlineLvl w:val="3"/>
        <w:rPr>
          <w:rFonts w:ascii="Arial 12" w:eastAsia="Times New Roman" w:hAnsi="Arial 12" w:cs="Arial"/>
          <w:b/>
          <w:bCs/>
          <w:kern w:val="0"/>
          <w:sz w:val="24"/>
          <w:szCs w:val="24"/>
          <w:lang w:eastAsia="es-CO"/>
          <w14:ligatures w14:val="none"/>
        </w:rPr>
      </w:pPr>
      <w:r w:rsidRPr="003729B2">
        <w:rPr>
          <w:rFonts w:ascii="Arial 12" w:eastAsia="Times New Roman" w:hAnsi="Arial 12" w:cs="Arial"/>
          <w:b/>
          <w:bCs/>
          <w:kern w:val="0"/>
          <w:sz w:val="24"/>
          <w:szCs w:val="24"/>
          <w:lang w:eastAsia="es-CO"/>
          <w14:ligatures w14:val="none"/>
        </w:rPr>
        <w:t>5. Conclusiones y Propuestas de Intervención</w:t>
      </w:r>
    </w:p>
    <w:p w14:paraId="1DBD5C27" w14:textId="77777777" w:rsidR="003729B2" w:rsidRPr="003729B2" w:rsidRDefault="003729B2" w:rsidP="003729B2">
      <w:p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kern w:val="0"/>
          <w:sz w:val="24"/>
          <w:szCs w:val="24"/>
          <w:lang w:eastAsia="es-CO"/>
          <w14:ligatures w14:val="none"/>
        </w:rPr>
        <w:t xml:space="preserve">La interrelación entre biodiversidad, minería y afectación humana demuestra que la degradación ambiental en contextos de ilegalidad es inseparable de la crisis humanitaria. Cuando los actores armados logran consolidar el monopolio de las rentas mineras, la violencia explícita se sofistica y se transforma en un control social estructural que naturaliza las prácticas restrictivas y erosiona de forma acelerada la pervivencia física y cultural de las comunidades originarias. De continuarse con la ausencia de una gobernanza institucional efectiva, el riesgo de </w:t>
      </w:r>
      <w:r w:rsidRPr="003729B2">
        <w:rPr>
          <w:rFonts w:ascii="Arial 12" w:eastAsia="Times New Roman" w:hAnsi="Arial 12" w:cs="Arial"/>
          <w:kern w:val="0"/>
          <w:sz w:val="24"/>
          <w:szCs w:val="24"/>
          <w:lang w:eastAsia="es-CO"/>
          <w14:ligatures w14:val="none"/>
        </w:rPr>
        <w:lastRenderedPageBreak/>
        <w:t xml:space="preserve">exterminio étnico y cultural advertido por altos tribunales constitucionales se aproxima a una consumación irreversible. </w:t>
      </w:r>
    </w:p>
    <w:p w14:paraId="0484F314" w14:textId="77777777" w:rsidR="003729B2" w:rsidRPr="003729B2" w:rsidRDefault="003729B2" w:rsidP="003729B2">
      <w:p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kern w:val="0"/>
          <w:sz w:val="24"/>
          <w:szCs w:val="24"/>
          <w:lang w:eastAsia="es-CO"/>
          <w14:ligatures w14:val="none"/>
        </w:rPr>
        <w:t xml:space="preserve">Para mitigar este escenario de inminencia, resulta indispensable ejecutar una hoja de ruta interinstitucional y multidimensional que trascienda el control militar tradicional. Se requiere fortalecer la presencia civil del Estado mediante una inversión social focalizada que garantice servicios esenciales de salud pública y educación con pertinencia étnica. Asimismo, es perentorio diseñar estrategias de persecución penal y desmantelamiento financiero de las redes mineras ilegales, al tiempo que se protegen y formalizan los derechos territoriales de las comunidades a través de mecanismos de gobierno propio. Solo mediante la armonización entre la conservación ambiental y la garantía estricta de los derechos humanos se podrá salvaguardar la integridad de los ecosistemas estratégicos y la vida de las poblaciones que los custodian. </w:t>
      </w:r>
    </w:p>
    <w:p w14:paraId="7B6DEE80" w14:textId="77777777" w:rsidR="003729B2" w:rsidRPr="003729B2" w:rsidRDefault="003729B2" w:rsidP="003729B2">
      <w:pPr>
        <w:spacing w:after="100" w:afterAutospacing="1" w:line="240" w:lineRule="auto"/>
        <w:outlineLvl w:val="2"/>
        <w:rPr>
          <w:rFonts w:ascii="Arial 12" w:eastAsia="Times New Roman" w:hAnsi="Arial 12" w:cs="Arial"/>
          <w:b/>
          <w:bCs/>
          <w:kern w:val="0"/>
          <w:sz w:val="24"/>
          <w:szCs w:val="24"/>
          <w:lang w:eastAsia="es-CO"/>
          <w14:ligatures w14:val="none"/>
        </w:rPr>
      </w:pPr>
      <w:r w:rsidRPr="003729B2">
        <w:rPr>
          <w:rFonts w:ascii="Arial 12" w:eastAsia="Times New Roman" w:hAnsi="Arial 12" w:cs="Arial"/>
          <w:b/>
          <w:bCs/>
          <w:kern w:val="0"/>
          <w:sz w:val="24"/>
          <w:szCs w:val="24"/>
          <w:lang w:eastAsia="es-CO"/>
          <w14:ligatures w14:val="none"/>
        </w:rPr>
        <w:t>6. Bibliografía (Norma APA 7.ª edición)</w:t>
      </w:r>
    </w:p>
    <w:p w14:paraId="43639318" w14:textId="77777777" w:rsidR="003729B2" w:rsidRPr="003729B2" w:rsidRDefault="003729B2" w:rsidP="003729B2">
      <w:p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kern w:val="0"/>
          <w:sz w:val="24"/>
          <w:szCs w:val="24"/>
          <w:lang w:eastAsia="es-CO"/>
          <w14:ligatures w14:val="none"/>
        </w:rPr>
        <w:t xml:space="preserve">Defensoría del Pueblo. (2026). </w:t>
      </w:r>
      <w:r w:rsidRPr="003729B2">
        <w:rPr>
          <w:rFonts w:ascii="Arial 12" w:eastAsia="Times New Roman" w:hAnsi="Arial 12" w:cs="Arial"/>
          <w:i/>
          <w:iCs/>
          <w:kern w:val="0"/>
          <w:sz w:val="24"/>
          <w:szCs w:val="24"/>
          <w:lang w:eastAsia="es-CO"/>
          <w14:ligatures w14:val="none"/>
        </w:rPr>
        <w:t xml:space="preserve">Alerta Temprana </w:t>
      </w:r>
      <w:proofErr w:type="spellStart"/>
      <w:r w:rsidRPr="003729B2">
        <w:rPr>
          <w:rFonts w:ascii="Arial 12" w:eastAsia="Times New Roman" w:hAnsi="Arial 12" w:cs="Arial"/>
          <w:i/>
          <w:iCs/>
          <w:kern w:val="0"/>
          <w:sz w:val="24"/>
          <w:szCs w:val="24"/>
          <w:lang w:eastAsia="es-CO"/>
          <w14:ligatures w14:val="none"/>
        </w:rPr>
        <w:t>N.°</w:t>
      </w:r>
      <w:proofErr w:type="spellEnd"/>
      <w:r w:rsidRPr="003729B2">
        <w:rPr>
          <w:rFonts w:ascii="Arial 12" w:eastAsia="Times New Roman" w:hAnsi="Arial 12" w:cs="Arial"/>
          <w:i/>
          <w:iCs/>
          <w:kern w:val="0"/>
          <w:sz w:val="24"/>
          <w:szCs w:val="24"/>
          <w:lang w:eastAsia="es-CO"/>
          <w14:ligatures w14:val="none"/>
        </w:rPr>
        <w:t xml:space="preserve"> 008-2026- De Inminencia</w:t>
      </w:r>
      <w:r w:rsidRPr="003729B2">
        <w:rPr>
          <w:rFonts w:ascii="Arial 12" w:eastAsia="Times New Roman" w:hAnsi="Arial 12" w:cs="Arial"/>
          <w:kern w:val="0"/>
          <w:sz w:val="24"/>
          <w:szCs w:val="24"/>
          <w:lang w:eastAsia="es-CO"/>
          <w14:ligatures w14:val="none"/>
        </w:rPr>
        <w:t xml:space="preserve"> (Proceso: Prevención y Protección, Código: PP-P01-F18, Versión 01). Bogotá D.C.: Sistema de Alertas Tempranas (SAT). </w:t>
      </w:r>
    </w:p>
    <w:p w14:paraId="5E0EDD74" w14:textId="77777777" w:rsidR="003729B2" w:rsidRPr="003729B2" w:rsidRDefault="003729B2" w:rsidP="003729B2">
      <w:p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kern w:val="0"/>
          <w:sz w:val="24"/>
          <w:szCs w:val="24"/>
          <w:lang w:eastAsia="es-CO"/>
          <w14:ligatures w14:val="none"/>
        </w:rPr>
        <w:t xml:space="preserve">Decreto 2124 de 2017. Por el cual se reglamenta el Sistema de Alertas Tempranas para la prevención y protección de los derechos a la vida, la libertad, la integridad y la seguridad de personas, grupos y comunidades. 18 de diciembre de 2017. D.O. </w:t>
      </w:r>
      <w:proofErr w:type="spellStart"/>
      <w:r w:rsidRPr="003729B2">
        <w:rPr>
          <w:rFonts w:ascii="Arial 12" w:eastAsia="Times New Roman" w:hAnsi="Arial 12" w:cs="Arial"/>
          <w:kern w:val="0"/>
          <w:sz w:val="24"/>
          <w:szCs w:val="24"/>
          <w:lang w:eastAsia="es-CO"/>
          <w14:ligatures w14:val="none"/>
        </w:rPr>
        <w:t>N.°</w:t>
      </w:r>
      <w:proofErr w:type="spellEnd"/>
      <w:r w:rsidRPr="003729B2">
        <w:rPr>
          <w:rFonts w:ascii="Arial 12" w:eastAsia="Times New Roman" w:hAnsi="Arial 12" w:cs="Arial"/>
          <w:kern w:val="0"/>
          <w:sz w:val="24"/>
          <w:szCs w:val="24"/>
          <w:lang w:eastAsia="es-CO"/>
          <w14:ligatures w14:val="none"/>
        </w:rPr>
        <w:t xml:space="preserve"> 50.451. </w:t>
      </w:r>
    </w:p>
    <w:p w14:paraId="7B528DE5" w14:textId="77777777" w:rsidR="003729B2" w:rsidRPr="003729B2" w:rsidRDefault="003729B2" w:rsidP="003729B2">
      <w:p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kern w:val="0"/>
          <w:sz w:val="24"/>
          <w:szCs w:val="24"/>
          <w:lang w:eastAsia="es-CO"/>
          <w14:ligatures w14:val="none"/>
        </w:rPr>
        <w:t xml:space="preserve">Decreto Ley 4633 de 2011. Por el cual se dictan medidas de asistencia, atención, reparación integral y de restitución de derechos territoriales a las víctimas pertenecientes a los Pueblos y Comunidades Indígenas. 9 de diciembre de 2011. D.O. </w:t>
      </w:r>
      <w:proofErr w:type="spellStart"/>
      <w:r w:rsidRPr="003729B2">
        <w:rPr>
          <w:rFonts w:ascii="Arial 12" w:eastAsia="Times New Roman" w:hAnsi="Arial 12" w:cs="Arial"/>
          <w:kern w:val="0"/>
          <w:sz w:val="24"/>
          <w:szCs w:val="24"/>
          <w:lang w:eastAsia="es-CO"/>
          <w14:ligatures w14:val="none"/>
        </w:rPr>
        <w:t>N.°</w:t>
      </w:r>
      <w:proofErr w:type="spellEnd"/>
      <w:r w:rsidRPr="003729B2">
        <w:rPr>
          <w:rFonts w:ascii="Arial 12" w:eastAsia="Times New Roman" w:hAnsi="Arial 12" w:cs="Arial"/>
          <w:kern w:val="0"/>
          <w:sz w:val="24"/>
          <w:szCs w:val="24"/>
          <w:lang w:eastAsia="es-CO"/>
          <w14:ligatures w14:val="none"/>
        </w:rPr>
        <w:t xml:space="preserve"> 48.278. </w:t>
      </w:r>
    </w:p>
    <w:p w14:paraId="291A7378" w14:textId="77777777" w:rsidR="003729B2" w:rsidRPr="003729B2" w:rsidRDefault="003729B2" w:rsidP="003729B2">
      <w:pPr>
        <w:spacing w:after="100" w:afterAutospacing="1" w:line="240" w:lineRule="auto"/>
        <w:rPr>
          <w:rFonts w:ascii="Arial 12" w:eastAsia="Times New Roman" w:hAnsi="Arial 12" w:cs="Arial"/>
          <w:kern w:val="0"/>
          <w:sz w:val="24"/>
          <w:szCs w:val="24"/>
          <w:lang w:eastAsia="es-CO"/>
          <w14:ligatures w14:val="none"/>
        </w:rPr>
      </w:pPr>
      <w:r w:rsidRPr="003729B2">
        <w:rPr>
          <w:rFonts w:ascii="Arial 12" w:eastAsia="Times New Roman" w:hAnsi="Arial 12" w:cs="Arial"/>
          <w:kern w:val="0"/>
          <w:sz w:val="24"/>
          <w:szCs w:val="24"/>
          <w:lang w:eastAsia="es-CO"/>
          <w14:ligatures w14:val="none"/>
        </w:rPr>
        <w:t xml:space="preserve">Organización Mundial de la Salud. (2021). </w:t>
      </w:r>
      <w:r w:rsidRPr="003729B2">
        <w:rPr>
          <w:rFonts w:ascii="Arial 12" w:eastAsia="Times New Roman" w:hAnsi="Arial 12" w:cs="Arial"/>
          <w:i/>
          <w:iCs/>
          <w:kern w:val="0"/>
          <w:sz w:val="24"/>
          <w:szCs w:val="24"/>
          <w:lang w:eastAsia="es-CO"/>
          <w14:ligatures w14:val="none"/>
        </w:rPr>
        <w:t>Manual sobre los efectos de la exposición al mercurio en la salud humana y pautas para su monitoreo ambiental</w:t>
      </w:r>
      <w:r w:rsidRPr="003729B2">
        <w:rPr>
          <w:rFonts w:ascii="Arial 12" w:eastAsia="Times New Roman" w:hAnsi="Arial 12" w:cs="Arial"/>
          <w:kern w:val="0"/>
          <w:sz w:val="24"/>
          <w:szCs w:val="24"/>
          <w:lang w:eastAsia="es-CO"/>
          <w14:ligatures w14:val="none"/>
        </w:rPr>
        <w:t xml:space="preserve">. Ginebra: OMS. </w:t>
      </w:r>
    </w:p>
    <w:p w14:paraId="32883311" w14:textId="77777777" w:rsidR="003729B2" w:rsidRPr="003729B2" w:rsidRDefault="003729B2" w:rsidP="009A0DA1">
      <w:pPr>
        <w:jc w:val="center"/>
        <w:rPr>
          <w:rFonts w:ascii="Arial 12" w:hAnsi="Arial 12"/>
          <w:sz w:val="24"/>
          <w:szCs w:val="24"/>
        </w:rPr>
      </w:pPr>
    </w:p>
    <w:p w14:paraId="005DA442" w14:textId="77777777" w:rsidR="003729B2" w:rsidRPr="003729B2" w:rsidRDefault="003729B2" w:rsidP="009A0DA1">
      <w:pPr>
        <w:jc w:val="center"/>
        <w:rPr>
          <w:rFonts w:ascii="Arial 12" w:hAnsi="Arial 12"/>
          <w:sz w:val="24"/>
          <w:szCs w:val="24"/>
        </w:rPr>
      </w:pPr>
    </w:p>
    <w:p w14:paraId="14E3AC7B" w14:textId="77777777" w:rsidR="003729B2" w:rsidRPr="003729B2" w:rsidRDefault="003729B2" w:rsidP="009A0DA1">
      <w:pPr>
        <w:jc w:val="center"/>
        <w:rPr>
          <w:rFonts w:ascii="Arial 12" w:hAnsi="Arial 12"/>
          <w:sz w:val="24"/>
          <w:szCs w:val="24"/>
        </w:rPr>
      </w:pPr>
    </w:p>
    <w:p w14:paraId="65BEF5F8" w14:textId="77777777" w:rsidR="003729B2" w:rsidRPr="003729B2" w:rsidRDefault="003729B2" w:rsidP="009A0DA1">
      <w:pPr>
        <w:jc w:val="center"/>
        <w:rPr>
          <w:rFonts w:ascii="Arial 12" w:hAnsi="Arial 12"/>
          <w:sz w:val="24"/>
          <w:szCs w:val="24"/>
        </w:rPr>
      </w:pPr>
    </w:p>
    <w:p w14:paraId="75EFD6FD" w14:textId="7D5CA1FA" w:rsidR="009A0DA1" w:rsidRPr="003729B2" w:rsidRDefault="009A0DA1" w:rsidP="009A0DA1">
      <w:pPr>
        <w:jc w:val="center"/>
        <w:rPr>
          <w:rFonts w:ascii="Arial 12" w:hAnsi="Arial 12"/>
          <w:sz w:val="24"/>
          <w:szCs w:val="24"/>
        </w:rPr>
      </w:pPr>
      <w:r w:rsidRPr="003729B2">
        <w:rPr>
          <w:rFonts w:ascii="Arial 12" w:hAnsi="Arial 12"/>
          <w:sz w:val="24"/>
          <w:szCs w:val="24"/>
        </w:rPr>
        <w:t xml:space="preserve">ALERTA TEMPRANA </w:t>
      </w:r>
      <w:proofErr w:type="spellStart"/>
      <w:r w:rsidRPr="003729B2">
        <w:rPr>
          <w:rFonts w:ascii="Arial 12" w:hAnsi="Arial 12"/>
          <w:sz w:val="24"/>
          <w:szCs w:val="24"/>
        </w:rPr>
        <w:t>N°</w:t>
      </w:r>
      <w:proofErr w:type="spellEnd"/>
      <w:r w:rsidRPr="003729B2">
        <w:rPr>
          <w:rFonts w:ascii="Arial 12" w:hAnsi="Arial 12"/>
          <w:sz w:val="24"/>
          <w:szCs w:val="24"/>
        </w:rPr>
        <w:t xml:space="preserve"> 003-2023 FECHA: FEBRERO 9 DE 2023</w:t>
      </w:r>
    </w:p>
    <w:p w14:paraId="49CDF656" w14:textId="2FFC1CF6" w:rsidR="009A0DA1" w:rsidRPr="003729B2" w:rsidRDefault="009A0DA1" w:rsidP="009A0DA1">
      <w:pPr>
        <w:jc w:val="center"/>
        <w:rPr>
          <w:rFonts w:ascii="Arial 12" w:hAnsi="Arial 12"/>
          <w:sz w:val="24"/>
          <w:szCs w:val="24"/>
        </w:rPr>
      </w:pPr>
      <w:r w:rsidRPr="003729B2">
        <w:rPr>
          <w:rFonts w:ascii="Arial 12" w:hAnsi="Arial 12"/>
          <w:sz w:val="24"/>
          <w:szCs w:val="24"/>
        </w:rPr>
        <w:t>MINERÍA ILEGAL Y SU IMPACTO EN LA BIODIVERSIDAD Y LAS</w:t>
      </w:r>
    </w:p>
    <w:p w14:paraId="7D700BDE" w14:textId="77777777" w:rsidR="009A0DA1" w:rsidRPr="003729B2" w:rsidRDefault="009A0DA1" w:rsidP="009A0DA1">
      <w:pPr>
        <w:jc w:val="center"/>
        <w:rPr>
          <w:rFonts w:ascii="Arial 12" w:hAnsi="Arial 12"/>
          <w:sz w:val="24"/>
          <w:szCs w:val="24"/>
        </w:rPr>
      </w:pPr>
      <w:r w:rsidRPr="003729B2">
        <w:rPr>
          <w:rFonts w:ascii="Arial 12" w:hAnsi="Arial 12"/>
          <w:sz w:val="24"/>
          <w:szCs w:val="24"/>
        </w:rPr>
        <w:t>COMUNIDADES ÉTNICAS DEL DEPARTAMENTO DEL GUAINÍA</w:t>
      </w:r>
    </w:p>
    <w:p w14:paraId="4E84408E" w14:textId="77777777" w:rsidR="009A0DA1" w:rsidRPr="003729B2" w:rsidRDefault="009A0DA1" w:rsidP="009A0DA1">
      <w:pPr>
        <w:rPr>
          <w:rFonts w:ascii="Arial 12" w:hAnsi="Arial 12"/>
          <w:sz w:val="24"/>
          <w:szCs w:val="24"/>
        </w:rPr>
      </w:pPr>
    </w:p>
    <w:p w14:paraId="087AE35E" w14:textId="77777777" w:rsidR="009A0DA1" w:rsidRPr="003729B2" w:rsidRDefault="009A0DA1" w:rsidP="009A0DA1">
      <w:pPr>
        <w:jc w:val="both"/>
        <w:rPr>
          <w:rFonts w:ascii="Arial 12" w:hAnsi="Arial 12"/>
          <w:sz w:val="24"/>
          <w:szCs w:val="24"/>
        </w:rPr>
      </w:pPr>
    </w:p>
    <w:p w14:paraId="6D71432B" w14:textId="77777777" w:rsidR="009A0DA1" w:rsidRPr="003729B2" w:rsidRDefault="009A0DA1" w:rsidP="009A0DA1">
      <w:pPr>
        <w:jc w:val="both"/>
        <w:rPr>
          <w:rFonts w:ascii="Arial 12" w:hAnsi="Arial 12"/>
          <w:sz w:val="24"/>
          <w:szCs w:val="24"/>
        </w:rPr>
      </w:pPr>
      <w:r w:rsidRPr="003729B2">
        <w:rPr>
          <w:rFonts w:ascii="Arial 12" w:hAnsi="Arial 12"/>
          <w:sz w:val="24"/>
          <w:szCs w:val="24"/>
        </w:rPr>
        <w:t>Contexto Territorial y Riqueza Biológica</w:t>
      </w:r>
    </w:p>
    <w:p w14:paraId="2D2AC767" w14:textId="77777777" w:rsidR="009A0DA1" w:rsidRPr="003729B2" w:rsidRDefault="009A0DA1" w:rsidP="009A0DA1">
      <w:pPr>
        <w:jc w:val="both"/>
        <w:rPr>
          <w:rFonts w:ascii="Arial 12" w:hAnsi="Arial 12"/>
          <w:sz w:val="24"/>
          <w:szCs w:val="24"/>
        </w:rPr>
      </w:pPr>
    </w:p>
    <w:p w14:paraId="5D307AC8" w14:textId="77777777" w:rsidR="009A0DA1" w:rsidRPr="003729B2" w:rsidRDefault="009A0DA1" w:rsidP="009A0DA1">
      <w:pPr>
        <w:jc w:val="both"/>
        <w:rPr>
          <w:rFonts w:ascii="Arial 12" w:hAnsi="Arial 12"/>
          <w:sz w:val="24"/>
          <w:szCs w:val="24"/>
        </w:rPr>
      </w:pPr>
      <w:r w:rsidRPr="003729B2">
        <w:rPr>
          <w:rFonts w:ascii="Arial 12" w:hAnsi="Arial 12"/>
          <w:sz w:val="24"/>
          <w:szCs w:val="24"/>
        </w:rPr>
        <w:t>El departamento del Guainía, ubicado en el sureste de Colombia, representa el quinto</w:t>
      </w:r>
    </w:p>
    <w:p w14:paraId="27E3259F" w14:textId="77777777" w:rsidR="009A0DA1" w:rsidRPr="003729B2" w:rsidRDefault="009A0DA1" w:rsidP="009A0DA1">
      <w:pPr>
        <w:jc w:val="both"/>
        <w:rPr>
          <w:rFonts w:ascii="Arial 12" w:hAnsi="Arial 12"/>
          <w:sz w:val="24"/>
          <w:szCs w:val="24"/>
        </w:rPr>
      </w:pPr>
      <w:r w:rsidRPr="003729B2">
        <w:rPr>
          <w:rFonts w:ascii="Arial 12" w:hAnsi="Arial 12"/>
          <w:sz w:val="24"/>
          <w:szCs w:val="24"/>
        </w:rPr>
        <w:t>territorio más extenso del país con 72.248 kilómetros cuadrados, consolidándose como una de</w:t>
      </w:r>
    </w:p>
    <w:p w14:paraId="50270BDE" w14:textId="77777777" w:rsidR="009A0DA1" w:rsidRPr="003729B2" w:rsidRDefault="009A0DA1" w:rsidP="009A0DA1">
      <w:pPr>
        <w:jc w:val="both"/>
        <w:rPr>
          <w:rFonts w:ascii="Arial 12" w:hAnsi="Arial 12"/>
          <w:sz w:val="24"/>
          <w:szCs w:val="24"/>
        </w:rPr>
      </w:pPr>
      <w:r w:rsidRPr="003729B2">
        <w:rPr>
          <w:rFonts w:ascii="Arial 12" w:hAnsi="Arial 12"/>
          <w:sz w:val="24"/>
          <w:szCs w:val="24"/>
        </w:rPr>
        <w:t>las zonas de transición ecológica más complejas y valiosas entre las regiones de la Orinoquia</w:t>
      </w:r>
    </w:p>
    <w:p w14:paraId="04FF2BF4" w14:textId="77777777" w:rsidR="009A0DA1" w:rsidRPr="003729B2" w:rsidRDefault="009A0DA1" w:rsidP="009A0DA1">
      <w:pPr>
        <w:jc w:val="both"/>
        <w:rPr>
          <w:rFonts w:ascii="Arial 12" w:hAnsi="Arial 12"/>
          <w:sz w:val="24"/>
          <w:szCs w:val="24"/>
        </w:rPr>
      </w:pPr>
      <w:r w:rsidRPr="003729B2">
        <w:rPr>
          <w:rFonts w:ascii="Arial 12" w:hAnsi="Arial 12"/>
          <w:sz w:val="24"/>
          <w:szCs w:val="24"/>
        </w:rPr>
        <w:t>y la Amazonía. Caracterizado por albergar ecosistemas prístinos de selvas húmedas tropicales</w:t>
      </w:r>
    </w:p>
    <w:p w14:paraId="4C45DD1F" w14:textId="77777777" w:rsidR="009A0DA1" w:rsidRPr="003729B2" w:rsidRDefault="009A0DA1" w:rsidP="009A0DA1">
      <w:pPr>
        <w:jc w:val="both"/>
        <w:rPr>
          <w:rFonts w:ascii="Arial 12" w:hAnsi="Arial 12"/>
          <w:sz w:val="24"/>
          <w:szCs w:val="24"/>
        </w:rPr>
      </w:pPr>
      <w:r w:rsidRPr="003729B2">
        <w:rPr>
          <w:rFonts w:ascii="Arial 12" w:hAnsi="Arial 12"/>
          <w:sz w:val="24"/>
          <w:szCs w:val="24"/>
        </w:rPr>
        <w:t>y complejas redes hídricas, este territorio posee áreas de altísima importancia ecológica</w:t>
      </w:r>
    </w:p>
    <w:p w14:paraId="2F40D1EB" w14:textId="77777777" w:rsidR="009A0DA1" w:rsidRPr="003729B2" w:rsidRDefault="009A0DA1" w:rsidP="009A0DA1">
      <w:pPr>
        <w:jc w:val="both"/>
        <w:rPr>
          <w:rFonts w:ascii="Arial 12" w:hAnsi="Arial 12"/>
          <w:sz w:val="24"/>
          <w:szCs w:val="24"/>
        </w:rPr>
      </w:pPr>
      <w:r w:rsidRPr="003729B2">
        <w:rPr>
          <w:rFonts w:ascii="Arial 12" w:hAnsi="Arial 12"/>
          <w:sz w:val="24"/>
          <w:szCs w:val="24"/>
        </w:rPr>
        <w:t>internacional, entre las que destaca la Estrella Fluvial del río Inírida y la cuenca del río</w:t>
      </w:r>
    </w:p>
    <w:p w14:paraId="64C1EE2C" w14:textId="77777777" w:rsidR="009A0DA1" w:rsidRPr="003729B2" w:rsidRDefault="009A0DA1" w:rsidP="009A0DA1">
      <w:pPr>
        <w:jc w:val="both"/>
        <w:rPr>
          <w:rFonts w:ascii="Arial 12" w:hAnsi="Arial 12"/>
          <w:sz w:val="24"/>
          <w:szCs w:val="24"/>
        </w:rPr>
      </w:pPr>
      <w:proofErr w:type="spellStart"/>
      <w:r w:rsidRPr="003729B2">
        <w:rPr>
          <w:rFonts w:ascii="Arial 12" w:hAnsi="Arial 12"/>
          <w:sz w:val="24"/>
          <w:szCs w:val="24"/>
        </w:rPr>
        <w:t>Atabapo</w:t>
      </w:r>
      <w:proofErr w:type="spellEnd"/>
      <w:r w:rsidRPr="003729B2">
        <w:rPr>
          <w:rFonts w:ascii="Arial 12" w:hAnsi="Arial 12"/>
          <w:sz w:val="24"/>
          <w:szCs w:val="24"/>
        </w:rPr>
        <w:t>, designadas como complejos humedales bajo la categoría de sitios RAMSAR. Esta</w:t>
      </w:r>
    </w:p>
    <w:p w14:paraId="7EDB0AF6" w14:textId="77777777" w:rsidR="009A0DA1" w:rsidRPr="003729B2" w:rsidRDefault="009A0DA1" w:rsidP="009A0DA1">
      <w:pPr>
        <w:jc w:val="both"/>
        <w:rPr>
          <w:rFonts w:ascii="Arial 12" w:hAnsi="Arial 12"/>
          <w:sz w:val="24"/>
          <w:szCs w:val="24"/>
        </w:rPr>
      </w:pPr>
      <w:r w:rsidRPr="003729B2">
        <w:rPr>
          <w:rFonts w:ascii="Arial 12" w:hAnsi="Arial 12"/>
          <w:sz w:val="24"/>
          <w:szCs w:val="24"/>
        </w:rPr>
        <w:t xml:space="preserve">riqueza biogeográfica coexiste con una </w:t>
      </w:r>
      <w:proofErr w:type="spellStart"/>
      <w:proofErr w:type="gramStart"/>
      <w:r w:rsidRPr="003729B2">
        <w:rPr>
          <w:rFonts w:ascii="Arial 12" w:hAnsi="Arial 12"/>
          <w:sz w:val="24"/>
          <w:szCs w:val="24"/>
        </w:rPr>
        <w:t>reality</w:t>
      </w:r>
      <w:proofErr w:type="spellEnd"/>
      <w:proofErr w:type="gramEnd"/>
      <w:r w:rsidRPr="003729B2">
        <w:rPr>
          <w:rFonts w:ascii="Arial 12" w:hAnsi="Arial 12"/>
          <w:sz w:val="24"/>
          <w:szCs w:val="24"/>
        </w:rPr>
        <w:t xml:space="preserve"> demográfica particular: Guainía es el segundo</w:t>
      </w:r>
    </w:p>
    <w:p w14:paraId="34407EAC" w14:textId="77777777" w:rsidR="009A0DA1" w:rsidRPr="003729B2" w:rsidRDefault="009A0DA1" w:rsidP="009A0DA1">
      <w:pPr>
        <w:jc w:val="both"/>
        <w:rPr>
          <w:rFonts w:ascii="Arial 12" w:hAnsi="Arial 12"/>
          <w:sz w:val="24"/>
          <w:szCs w:val="24"/>
        </w:rPr>
      </w:pPr>
      <w:r w:rsidRPr="003729B2">
        <w:rPr>
          <w:rFonts w:ascii="Arial 12" w:hAnsi="Arial 12"/>
          <w:sz w:val="24"/>
          <w:szCs w:val="24"/>
        </w:rPr>
        <w:t>departamento menos poblado de Colombia, donde el 77.6% de sus habitantes se</w:t>
      </w:r>
    </w:p>
    <w:p w14:paraId="29485757" w14:textId="77777777" w:rsidR="009A0DA1" w:rsidRPr="003729B2" w:rsidRDefault="009A0DA1" w:rsidP="009A0DA1">
      <w:pPr>
        <w:jc w:val="both"/>
        <w:rPr>
          <w:rFonts w:ascii="Arial 12" w:hAnsi="Arial 12"/>
          <w:sz w:val="24"/>
          <w:szCs w:val="24"/>
        </w:rPr>
      </w:pPr>
      <w:r w:rsidRPr="003729B2">
        <w:rPr>
          <w:rFonts w:ascii="Arial 12" w:hAnsi="Arial 12"/>
          <w:sz w:val="24"/>
          <w:szCs w:val="24"/>
        </w:rPr>
        <w:t>autoidentifican como miembros de pueblos indígenas, predominantemente de las etnias</w:t>
      </w:r>
    </w:p>
    <w:p w14:paraId="574B69B0" w14:textId="77777777" w:rsidR="009A0DA1" w:rsidRPr="003729B2" w:rsidRDefault="009A0DA1" w:rsidP="009A0DA1">
      <w:pPr>
        <w:jc w:val="both"/>
        <w:rPr>
          <w:rFonts w:ascii="Arial 12" w:hAnsi="Arial 12"/>
          <w:sz w:val="24"/>
          <w:szCs w:val="24"/>
        </w:rPr>
      </w:pPr>
      <w:proofErr w:type="spellStart"/>
      <w:r w:rsidRPr="003729B2">
        <w:rPr>
          <w:rFonts w:ascii="Arial 12" w:hAnsi="Arial 12"/>
          <w:sz w:val="24"/>
          <w:szCs w:val="24"/>
        </w:rPr>
        <w:t>Curripaco</w:t>
      </w:r>
      <w:proofErr w:type="spellEnd"/>
      <w:r w:rsidRPr="003729B2">
        <w:rPr>
          <w:rFonts w:ascii="Arial 12" w:hAnsi="Arial 12"/>
          <w:sz w:val="24"/>
          <w:szCs w:val="24"/>
        </w:rPr>
        <w:t xml:space="preserve">, </w:t>
      </w:r>
      <w:proofErr w:type="spellStart"/>
      <w:r w:rsidRPr="003729B2">
        <w:rPr>
          <w:rFonts w:ascii="Arial 12" w:hAnsi="Arial 12"/>
          <w:sz w:val="24"/>
          <w:szCs w:val="24"/>
        </w:rPr>
        <w:t>Puinave</w:t>
      </w:r>
      <w:proofErr w:type="spellEnd"/>
      <w:r w:rsidRPr="003729B2">
        <w:rPr>
          <w:rFonts w:ascii="Arial 12" w:hAnsi="Arial 12"/>
          <w:sz w:val="24"/>
          <w:szCs w:val="24"/>
        </w:rPr>
        <w:t xml:space="preserve"> y Yeral, distribuidos en amplios resguardos ancestrales que salvaguardan</w:t>
      </w:r>
    </w:p>
    <w:p w14:paraId="032270EA" w14:textId="77777777" w:rsidR="009A0DA1" w:rsidRPr="003729B2" w:rsidRDefault="009A0DA1" w:rsidP="009A0DA1">
      <w:pPr>
        <w:jc w:val="both"/>
        <w:rPr>
          <w:rFonts w:ascii="Arial 12" w:hAnsi="Arial 12"/>
          <w:sz w:val="24"/>
          <w:szCs w:val="24"/>
        </w:rPr>
      </w:pPr>
      <w:r w:rsidRPr="003729B2">
        <w:rPr>
          <w:rFonts w:ascii="Arial 12" w:hAnsi="Arial 12"/>
          <w:sz w:val="24"/>
          <w:szCs w:val="24"/>
        </w:rPr>
        <w:t>una parte sustancial de la selva amazónica y de la Reserva Forestal de la Ley Segunda.</w:t>
      </w:r>
    </w:p>
    <w:p w14:paraId="5B526AAB" w14:textId="77777777" w:rsidR="009A0DA1" w:rsidRPr="003729B2" w:rsidRDefault="009A0DA1" w:rsidP="009A0DA1">
      <w:pPr>
        <w:jc w:val="both"/>
        <w:rPr>
          <w:rFonts w:ascii="Arial 12" w:hAnsi="Arial 12"/>
          <w:sz w:val="24"/>
          <w:szCs w:val="24"/>
        </w:rPr>
      </w:pPr>
    </w:p>
    <w:p w14:paraId="03D2FBAB" w14:textId="77777777" w:rsidR="009A0DA1" w:rsidRPr="003729B2" w:rsidRDefault="009A0DA1" w:rsidP="009A0DA1">
      <w:pPr>
        <w:jc w:val="both"/>
        <w:rPr>
          <w:rFonts w:ascii="Arial 12" w:hAnsi="Arial 12"/>
          <w:sz w:val="24"/>
          <w:szCs w:val="24"/>
        </w:rPr>
      </w:pPr>
      <w:r w:rsidRPr="003729B2">
        <w:rPr>
          <w:rFonts w:ascii="Arial 12" w:hAnsi="Arial 12"/>
          <w:sz w:val="24"/>
          <w:szCs w:val="24"/>
        </w:rPr>
        <w:t>La Encrucijada de la Explotación Minera</w:t>
      </w:r>
    </w:p>
    <w:p w14:paraId="500D758F" w14:textId="77777777" w:rsidR="009A0DA1" w:rsidRPr="003729B2" w:rsidRDefault="009A0DA1" w:rsidP="009A0DA1">
      <w:pPr>
        <w:jc w:val="both"/>
        <w:rPr>
          <w:rFonts w:ascii="Arial 12" w:hAnsi="Arial 12"/>
          <w:sz w:val="24"/>
          <w:szCs w:val="24"/>
        </w:rPr>
      </w:pPr>
    </w:p>
    <w:p w14:paraId="2F63CFC2" w14:textId="77777777" w:rsidR="009A0DA1" w:rsidRPr="003729B2" w:rsidRDefault="009A0DA1" w:rsidP="009A0DA1">
      <w:pPr>
        <w:jc w:val="both"/>
        <w:rPr>
          <w:rFonts w:ascii="Arial 12" w:hAnsi="Arial 12"/>
          <w:sz w:val="24"/>
          <w:szCs w:val="24"/>
        </w:rPr>
      </w:pPr>
      <w:r w:rsidRPr="003729B2">
        <w:rPr>
          <w:rFonts w:ascii="Arial 12" w:hAnsi="Arial 12"/>
          <w:sz w:val="24"/>
          <w:szCs w:val="24"/>
        </w:rPr>
        <w:t>A pesar de sus declaratorias de protección ambiental y la presencia de áreas de reserva</w:t>
      </w:r>
    </w:p>
    <w:p w14:paraId="23261308" w14:textId="77777777" w:rsidR="009A0DA1" w:rsidRPr="003729B2" w:rsidRDefault="009A0DA1" w:rsidP="009A0DA1">
      <w:pPr>
        <w:jc w:val="both"/>
        <w:rPr>
          <w:rFonts w:ascii="Arial 12" w:hAnsi="Arial 12"/>
          <w:sz w:val="24"/>
          <w:szCs w:val="24"/>
        </w:rPr>
      </w:pPr>
      <w:r w:rsidRPr="003729B2">
        <w:rPr>
          <w:rFonts w:ascii="Arial 12" w:hAnsi="Arial 12"/>
          <w:sz w:val="24"/>
          <w:szCs w:val="24"/>
        </w:rPr>
        <w:lastRenderedPageBreak/>
        <w:t xml:space="preserve">estricta como la Reserva Nacional Natural </w:t>
      </w:r>
      <w:proofErr w:type="spellStart"/>
      <w:r w:rsidRPr="003729B2">
        <w:rPr>
          <w:rFonts w:ascii="Arial 12" w:hAnsi="Arial 12"/>
          <w:sz w:val="24"/>
          <w:szCs w:val="24"/>
        </w:rPr>
        <w:t>Puinawai</w:t>
      </w:r>
      <w:proofErr w:type="spellEnd"/>
      <w:r w:rsidRPr="003729B2">
        <w:rPr>
          <w:rFonts w:ascii="Arial 12" w:hAnsi="Arial 12"/>
          <w:sz w:val="24"/>
          <w:szCs w:val="24"/>
        </w:rPr>
        <w:t>, el subsuelo del Guainía posee</w:t>
      </w:r>
    </w:p>
    <w:p w14:paraId="06B4CD50" w14:textId="77777777" w:rsidR="009A0DA1" w:rsidRPr="003729B2" w:rsidRDefault="009A0DA1" w:rsidP="009A0DA1">
      <w:pPr>
        <w:jc w:val="both"/>
        <w:rPr>
          <w:rFonts w:ascii="Arial 12" w:hAnsi="Arial 12"/>
          <w:sz w:val="24"/>
          <w:szCs w:val="24"/>
        </w:rPr>
      </w:pPr>
      <w:r w:rsidRPr="003729B2">
        <w:rPr>
          <w:rFonts w:ascii="Arial 12" w:hAnsi="Arial 12"/>
          <w:sz w:val="24"/>
          <w:szCs w:val="24"/>
        </w:rPr>
        <w:t>importantes yacimientos de minerales estratégicos y preciosos, principalmente oro y coltán.</w:t>
      </w:r>
    </w:p>
    <w:p w14:paraId="61351A67" w14:textId="77777777" w:rsidR="009A0DA1" w:rsidRPr="003729B2" w:rsidRDefault="009A0DA1" w:rsidP="009A0DA1">
      <w:pPr>
        <w:jc w:val="both"/>
        <w:rPr>
          <w:rFonts w:ascii="Arial 12" w:hAnsi="Arial 12"/>
          <w:sz w:val="24"/>
          <w:szCs w:val="24"/>
        </w:rPr>
      </w:pPr>
      <w:r w:rsidRPr="003729B2">
        <w:rPr>
          <w:rFonts w:ascii="Arial 12" w:hAnsi="Arial 12"/>
          <w:sz w:val="24"/>
          <w:szCs w:val="24"/>
        </w:rPr>
        <w:t>Esta dotación de recursos naturales ha propiciado la proliferación y consolidación de</w:t>
      </w:r>
    </w:p>
    <w:p w14:paraId="4D42BEEE" w14:textId="77777777" w:rsidR="009A0DA1" w:rsidRPr="003729B2" w:rsidRDefault="009A0DA1" w:rsidP="009A0DA1">
      <w:pPr>
        <w:jc w:val="both"/>
        <w:rPr>
          <w:rFonts w:ascii="Arial 12" w:hAnsi="Arial 12"/>
          <w:sz w:val="24"/>
          <w:szCs w:val="24"/>
        </w:rPr>
      </w:pPr>
      <w:r w:rsidRPr="003729B2">
        <w:rPr>
          <w:rFonts w:ascii="Arial 12" w:hAnsi="Arial 12"/>
          <w:sz w:val="24"/>
          <w:szCs w:val="24"/>
        </w:rPr>
        <w:t>economías extractivas ilegales, dinamizadas por Grupos Armados Organizados (GAO)</w:t>
      </w:r>
    </w:p>
    <w:p w14:paraId="14A37E50" w14:textId="77777777" w:rsidR="009A0DA1" w:rsidRPr="003729B2" w:rsidRDefault="009A0DA1" w:rsidP="009A0DA1">
      <w:pPr>
        <w:jc w:val="both"/>
        <w:rPr>
          <w:rFonts w:ascii="Arial 12" w:hAnsi="Arial 12"/>
          <w:sz w:val="24"/>
          <w:szCs w:val="24"/>
        </w:rPr>
      </w:pPr>
    </w:p>
    <w:p w14:paraId="5F319256" w14:textId="77777777" w:rsidR="009A0DA1" w:rsidRPr="003729B2" w:rsidRDefault="009A0DA1" w:rsidP="009A0DA1">
      <w:pPr>
        <w:jc w:val="both"/>
        <w:rPr>
          <w:rFonts w:ascii="Arial 12" w:hAnsi="Arial 12"/>
          <w:sz w:val="24"/>
          <w:szCs w:val="24"/>
        </w:rPr>
      </w:pPr>
      <w:r w:rsidRPr="003729B2">
        <w:rPr>
          <w:rFonts w:ascii="Arial 12" w:hAnsi="Arial 12"/>
          <w:sz w:val="24"/>
          <w:szCs w:val="24"/>
        </w:rPr>
        <w:t>transnacionales, como el Ejército de Liberación Nacional (ELN) y las Facciones Disidentes</w:t>
      </w:r>
    </w:p>
    <w:p w14:paraId="0BC7CDD4" w14:textId="77777777" w:rsidR="009A0DA1" w:rsidRPr="003729B2" w:rsidRDefault="009A0DA1" w:rsidP="009A0DA1">
      <w:pPr>
        <w:jc w:val="both"/>
        <w:rPr>
          <w:rFonts w:ascii="Arial 12" w:hAnsi="Arial 12"/>
          <w:sz w:val="24"/>
          <w:szCs w:val="24"/>
        </w:rPr>
      </w:pPr>
      <w:r w:rsidRPr="003729B2">
        <w:rPr>
          <w:rFonts w:ascii="Arial 12" w:hAnsi="Arial 12"/>
          <w:sz w:val="24"/>
          <w:szCs w:val="24"/>
        </w:rPr>
        <w:t>de las FARC (frente Acacio Medina). La fragilidad del control territorial e institucional y el</w:t>
      </w:r>
    </w:p>
    <w:p w14:paraId="0B2FF6AA" w14:textId="77777777" w:rsidR="009A0DA1" w:rsidRPr="003729B2" w:rsidRDefault="009A0DA1" w:rsidP="009A0DA1">
      <w:pPr>
        <w:jc w:val="both"/>
        <w:rPr>
          <w:rFonts w:ascii="Arial 12" w:hAnsi="Arial 12"/>
          <w:sz w:val="24"/>
          <w:szCs w:val="24"/>
        </w:rPr>
      </w:pPr>
      <w:r w:rsidRPr="003729B2">
        <w:rPr>
          <w:rFonts w:ascii="Arial 12" w:hAnsi="Arial 12"/>
          <w:sz w:val="24"/>
          <w:szCs w:val="24"/>
        </w:rPr>
        <w:t>aislamiento geográfico estructural de las Áreas No Municipalizadas (ANM) como Cacahual,</w:t>
      </w:r>
    </w:p>
    <w:p w14:paraId="4A169786" w14:textId="77777777" w:rsidR="009A0DA1" w:rsidRPr="003729B2" w:rsidRDefault="009A0DA1" w:rsidP="009A0DA1">
      <w:pPr>
        <w:jc w:val="both"/>
        <w:rPr>
          <w:rFonts w:ascii="Arial 12" w:hAnsi="Arial 12"/>
          <w:sz w:val="24"/>
          <w:szCs w:val="24"/>
        </w:rPr>
      </w:pPr>
      <w:r w:rsidRPr="003729B2">
        <w:rPr>
          <w:rFonts w:ascii="Arial 12" w:hAnsi="Arial 12"/>
          <w:sz w:val="24"/>
          <w:szCs w:val="24"/>
        </w:rPr>
        <w:t>Puerto Colombia, San Felipe y La Guadalupe han permitido que estas organizaciones</w:t>
      </w:r>
    </w:p>
    <w:p w14:paraId="5FBFB942" w14:textId="77777777" w:rsidR="009A0DA1" w:rsidRPr="003729B2" w:rsidRDefault="009A0DA1" w:rsidP="009A0DA1">
      <w:pPr>
        <w:jc w:val="both"/>
        <w:rPr>
          <w:rFonts w:ascii="Arial 12" w:hAnsi="Arial 12"/>
          <w:sz w:val="24"/>
          <w:szCs w:val="24"/>
        </w:rPr>
      </w:pPr>
      <w:r w:rsidRPr="003729B2">
        <w:rPr>
          <w:rFonts w:ascii="Arial 12" w:hAnsi="Arial 12"/>
          <w:sz w:val="24"/>
          <w:szCs w:val="24"/>
        </w:rPr>
        <w:t>criminales exploten los recursos del subsuelo mediante lógicas violentas, utilizando las rentas</w:t>
      </w:r>
    </w:p>
    <w:p w14:paraId="5933010D" w14:textId="77777777" w:rsidR="009A0DA1" w:rsidRPr="003729B2" w:rsidRDefault="009A0DA1" w:rsidP="009A0DA1">
      <w:pPr>
        <w:jc w:val="both"/>
        <w:rPr>
          <w:rFonts w:ascii="Arial 12" w:hAnsi="Arial 12"/>
          <w:sz w:val="24"/>
          <w:szCs w:val="24"/>
        </w:rPr>
      </w:pPr>
      <w:r w:rsidRPr="003729B2">
        <w:rPr>
          <w:rFonts w:ascii="Arial 12" w:hAnsi="Arial 12"/>
          <w:sz w:val="24"/>
          <w:szCs w:val="24"/>
        </w:rPr>
        <w:t>de la minería para financiar la expansión de sus estructuras de guerra y someter a la población</w:t>
      </w:r>
    </w:p>
    <w:p w14:paraId="14BC3507" w14:textId="77777777" w:rsidR="009A0DA1" w:rsidRPr="003729B2" w:rsidRDefault="009A0DA1" w:rsidP="009A0DA1">
      <w:pPr>
        <w:jc w:val="both"/>
        <w:rPr>
          <w:rFonts w:ascii="Arial 12" w:hAnsi="Arial 12"/>
          <w:sz w:val="24"/>
          <w:szCs w:val="24"/>
        </w:rPr>
      </w:pPr>
      <w:r w:rsidRPr="003729B2">
        <w:rPr>
          <w:rFonts w:ascii="Arial 12" w:hAnsi="Arial 12"/>
          <w:sz w:val="24"/>
          <w:szCs w:val="24"/>
        </w:rPr>
        <w:t>civil a estrictas normas de control social y extorsión generalizada.</w:t>
      </w:r>
    </w:p>
    <w:p w14:paraId="134B1733" w14:textId="77777777" w:rsidR="009A0DA1" w:rsidRPr="003729B2" w:rsidRDefault="009A0DA1" w:rsidP="009A0DA1">
      <w:pPr>
        <w:jc w:val="both"/>
        <w:rPr>
          <w:rFonts w:ascii="Arial 12" w:hAnsi="Arial 12"/>
          <w:sz w:val="24"/>
          <w:szCs w:val="24"/>
        </w:rPr>
      </w:pPr>
      <w:r w:rsidRPr="003729B2">
        <w:rPr>
          <w:rFonts w:ascii="Arial 12" w:hAnsi="Arial 12"/>
          <w:sz w:val="24"/>
          <w:szCs w:val="24"/>
        </w:rPr>
        <w:t>La afectación ecológica derivada de estas prácticas se manifiesta de manera</w:t>
      </w:r>
    </w:p>
    <w:p w14:paraId="42C5C835" w14:textId="77777777" w:rsidR="009A0DA1" w:rsidRPr="003729B2" w:rsidRDefault="009A0DA1" w:rsidP="009A0DA1">
      <w:pPr>
        <w:jc w:val="both"/>
        <w:rPr>
          <w:rFonts w:ascii="Arial 12" w:hAnsi="Arial 12"/>
          <w:sz w:val="24"/>
          <w:szCs w:val="24"/>
        </w:rPr>
      </w:pPr>
      <w:r w:rsidRPr="003729B2">
        <w:rPr>
          <w:rFonts w:ascii="Arial 12" w:hAnsi="Arial 12"/>
          <w:sz w:val="24"/>
          <w:szCs w:val="24"/>
        </w:rPr>
        <w:t>devastadora tanto en los ecosistemas terrestres como en los cuerpos de agua del</w:t>
      </w:r>
    </w:p>
    <w:p w14:paraId="389E7A70" w14:textId="77777777" w:rsidR="009A0DA1" w:rsidRPr="003729B2" w:rsidRDefault="009A0DA1" w:rsidP="009A0DA1">
      <w:pPr>
        <w:jc w:val="both"/>
        <w:rPr>
          <w:rFonts w:ascii="Arial 12" w:hAnsi="Arial 12"/>
          <w:sz w:val="24"/>
          <w:szCs w:val="24"/>
        </w:rPr>
      </w:pPr>
      <w:r w:rsidRPr="003729B2">
        <w:rPr>
          <w:rFonts w:ascii="Arial 12" w:hAnsi="Arial 12"/>
          <w:sz w:val="24"/>
          <w:szCs w:val="24"/>
        </w:rPr>
        <w:t>departamento. De acuerdo con datos del Sistema de Monitoreo de Cultivos Ilícitos (SIMCI)</w:t>
      </w:r>
    </w:p>
    <w:p w14:paraId="32CBE4B8" w14:textId="77777777" w:rsidR="009A0DA1" w:rsidRPr="003729B2" w:rsidRDefault="009A0DA1" w:rsidP="009A0DA1">
      <w:pPr>
        <w:jc w:val="both"/>
        <w:rPr>
          <w:rFonts w:ascii="Arial 12" w:hAnsi="Arial 12"/>
          <w:sz w:val="24"/>
          <w:szCs w:val="24"/>
        </w:rPr>
      </w:pPr>
      <w:r w:rsidRPr="003729B2">
        <w:rPr>
          <w:rFonts w:ascii="Arial 12" w:hAnsi="Arial 12"/>
          <w:sz w:val="24"/>
          <w:szCs w:val="24"/>
        </w:rPr>
        <w:t>de la Oficina de las Naciones Unidas contra la Droga y el Delito (UNODC), las evidencias de</w:t>
      </w:r>
    </w:p>
    <w:p w14:paraId="53122C00" w14:textId="77777777" w:rsidR="009A0DA1" w:rsidRPr="003729B2" w:rsidRDefault="009A0DA1" w:rsidP="009A0DA1">
      <w:pPr>
        <w:jc w:val="both"/>
        <w:rPr>
          <w:rFonts w:ascii="Arial 12" w:hAnsi="Arial 12"/>
          <w:sz w:val="24"/>
          <w:szCs w:val="24"/>
        </w:rPr>
      </w:pPr>
      <w:r w:rsidRPr="003729B2">
        <w:rPr>
          <w:rFonts w:ascii="Arial 12" w:hAnsi="Arial 12"/>
          <w:sz w:val="24"/>
          <w:szCs w:val="24"/>
        </w:rPr>
        <w:t>explotación de oro de aluvión en tierra han revelado una destrucción acelerada que</w:t>
      </w:r>
    </w:p>
    <w:p w14:paraId="7B2EEEF0" w14:textId="77777777" w:rsidR="009A0DA1" w:rsidRPr="003729B2" w:rsidRDefault="009A0DA1" w:rsidP="009A0DA1">
      <w:pPr>
        <w:jc w:val="both"/>
        <w:rPr>
          <w:rFonts w:ascii="Arial 12" w:hAnsi="Arial 12"/>
          <w:sz w:val="24"/>
          <w:szCs w:val="24"/>
        </w:rPr>
      </w:pPr>
      <w:r w:rsidRPr="003729B2">
        <w:rPr>
          <w:rFonts w:ascii="Arial 12" w:hAnsi="Arial 12"/>
          <w:sz w:val="24"/>
          <w:szCs w:val="24"/>
        </w:rPr>
        <w:t>compromete directamente áreas protegidas; de manera alarmante, se ha determinado que el</w:t>
      </w:r>
    </w:p>
    <w:p w14:paraId="52915F74" w14:textId="77777777" w:rsidR="009A0DA1" w:rsidRPr="003729B2" w:rsidRDefault="009A0DA1" w:rsidP="009A0DA1">
      <w:pPr>
        <w:jc w:val="both"/>
        <w:rPr>
          <w:rFonts w:ascii="Arial 12" w:hAnsi="Arial 12"/>
          <w:sz w:val="24"/>
          <w:szCs w:val="24"/>
        </w:rPr>
      </w:pPr>
      <w:r w:rsidRPr="003729B2">
        <w:rPr>
          <w:rFonts w:ascii="Arial 12" w:hAnsi="Arial 12"/>
          <w:sz w:val="24"/>
          <w:szCs w:val="24"/>
        </w:rPr>
        <w:t>Guainía es el segundo departamento del país con mayor afectación por minería en territorios</w:t>
      </w:r>
    </w:p>
    <w:p w14:paraId="2E07BF22" w14:textId="77777777" w:rsidR="009A0DA1" w:rsidRPr="003729B2" w:rsidRDefault="009A0DA1" w:rsidP="009A0DA1">
      <w:pPr>
        <w:jc w:val="both"/>
        <w:rPr>
          <w:rFonts w:ascii="Arial 12" w:hAnsi="Arial 12"/>
          <w:sz w:val="24"/>
          <w:szCs w:val="24"/>
        </w:rPr>
      </w:pPr>
      <w:r w:rsidRPr="003729B2">
        <w:rPr>
          <w:rFonts w:ascii="Arial 12" w:hAnsi="Arial 12"/>
          <w:sz w:val="24"/>
          <w:szCs w:val="24"/>
        </w:rPr>
        <w:lastRenderedPageBreak/>
        <w:t xml:space="preserve">indígenas, registrando afectaciones directas sobre la Reserva Nacional Natural </w:t>
      </w:r>
      <w:proofErr w:type="spellStart"/>
      <w:r w:rsidRPr="003729B2">
        <w:rPr>
          <w:rFonts w:ascii="Arial 12" w:hAnsi="Arial 12"/>
          <w:sz w:val="24"/>
          <w:szCs w:val="24"/>
        </w:rPr>
        <w:t>Puinawai</w:t>
      </w:r>
      <w:proofErr w:type="spellEnd"/>
      <w:r w:rsidRPr="003729B2">
        <w:rPr>
          <w:rFonts w:ascii="Arial 12" w:hAnsi="Arial 12"/>
          <w:sz w:val="24"/>
          <w:szCs w:val="24"/>
        </w:rPr>
        <w:t>, la</w:t>
      </w:r>
    </w:p>
    <w:p w14:paraId="7A3C3498" w14:textId="77777777" w:rsidR="009A0DA1" w:rsidRPr="003729B2" w:rsidRDefault="009A0DA1" w:rsidP="009A0DA1">
      <w:pPr>
        <w:jc w:val="both"/>
        <w:rPr>
          <w:rFonts w:ascii="Arial 12" w:hAnsi="Arial 12"/>
          <w:sz w:val="24"/>
          <w:szCs w:val="24"/>
        </w:rPr>
      </w:pPr>
      <w:r w:rsidRPr="003729B2">
        <w:rPr>
          <w:rFonts w:ascii="Arial 12" w:hAnsi="Arial 12"/>
          <w:sz w:val="24"/>
          <w:szCs w:val="24"/>
        </w:rPr>
        <w:t>cual concentra el 95% del total de las áreas deforestadas y degradadas detectadas bajo esta</w:t>
      </w:r>
    </w:p>
    <w:p w14:paraId="72BAA2BA" w14:textId="77777777" w:rsidR="009A0DA1" w:rsidRPr="003729B2" w:rsidRDefault="009A0DA1" w:rsidP="009A0DA1">
      <w:pPr>
        <w:jc w:val="both"/>
        <w:rPr>
          <w:rFonts w:ascii="Arial 12" w:hAnsi="Arial 12"/>
          <w:sz w:val="24"/>
          <w:szCs w:val="24"/>
        </w:rPr>
      </w:pPr>
      <w:r w:rsidRPr="003729B2">
        <w:rPr>
          <w:rFonts w:ascii="Arial 12" w:hAnsi="Arial 12"/>
          <w:sz w:val="24"/>
          <w:szCs w:val="24"/>
        </w:rPr>
        <w:t>modalidad en todo el Sistema Nacional de Parques Nacionales Naturales.</w:t>
      </w:r>
    </w:p>
    <w:p w14:paraId="7D01AEFB" w14:textId="77777777" w:rsidR="009A0DA1" w:rsidRPr="003729B2" w:rsidRDefault="009A0DA1" w:rsidP="009A0DA1">
      <w:pPr>
        <w:jc w:val="both"/>
        <w:rPr>
          <w:rFonts w:ascii="Arial 12" w:hAnsi="Arial 12"/>
          <w:sz w:val="24"/>
          <w:szCs w:val="24"/>
        </w:rPr>
      </w:pPr>
    </w:p>
    <w:p w14:paraId="44A2C54D" w14:textId="77777777" w:rsidR="009A0DA1" w:rsidRPr="003729B2" w:rsidRDefault="009A0DA1" w:rsidP="009A0DA1">
      <w:pPr>
        <w:jc w:val="both"/>
        <w:rPr>
          <w:rFonts w:ascii="Arial 12" w:hAnsi="Arial 12"/>
          <w:sz w:val="24"/>
          <w:szCs w:val="24"/>
        </w:rPr>
      </w:pPr>
      <w:r w:rsidRPr="003729B2">
        <w:rPr>
          <w:rFonts w:ascii="Arial 12" w:hAnsi="Arial 12"/>
          <w:sz w:val="24"/>
          <w:szCs w:val="24"/>
        </w:rPr>
        <w:t>Degradación Ambiental y Contaminación Química</w:t>
      </w:r>
    </w:p>
    <w:p w14:paraId="3377E707" w14:textId="77777777" w:rsidR="009A0DA1" w:rsidRPr="003729B2" w:rsidRDefault="009A0DA1" w:rsidP="009A0DA1">
      <w:pPr>
        <w:jc w:val="both"/>
        <w:rPr>
          <w:rFonts w:ascii="Arial 12" w:hAnsi="Arial 12"/>
          <w:sz w:val="24"/>
          <w:szCs w:val="24"/>
        </w:rPr>
      </w:pPr>
    </w:p>
    <w:p w14:paraId="19E6B908" w14:textId="77777777" w:rsidR="009A0DA1" w:rsidRPr="003729B2" w:rsidRDefault="009A0DA1" w:rsidP="009A0DA1">
      <w:pPr>
        <w:jc w:val="both"/>
        <w:rPr>
          <w:rFonts w:ascii="Arial 12" w:hAnsi="Arial 12"/>
          <w:sz w:val="24"/>
          <w:szCs w:val="24"/>
        </w:rPr>
      </w:pPr>
      <w:r w:rsidRPr="003729B2">
        <w:rPr>
          <w:rFonts w:ascii="Arial 12" w:hAnsi="Arial 12"/>
          <w:sz w:val="24"/>
          <w:szCs w:val="24"/>
        </w:rPr>
        <w:t>El principal método de extracción empleado en la región corresponde a la minería de</w:t>
      </w:r>
    </w:p>
    <w:p w14:paraId="4355384E" w14:textId="77777777" w:rsidR="009A0DA1" w:rsidRPr="003729B2" w:rsidRDefault="009A0DA1" w:rsidP="009A0DA1">
      <w:pPr>
        <w:jc w:val="both"/>
        <w:rPr>
          <w:rFonts w:ascii="Arial 12" w:hAnsi="Arial 12"/>
          <w:sz w:val="24"/>
          <w:szCs w:val="24"/>
        </w:rPr>
      </w:pPr>
      <w:r w:rsidRPr="003729B2">
        <w:rPr>
          <w:rFonts w:ascii="Arial 12" w:hAnsi="Arial 12"/>
          <w:sz w:val="24"/>
          <w:szCs w:val="24"/>
        </w:rPr>
        <w:t>aluvión en agua, desarrollada de forma intensiva sobre las cuencas fluviales de los ríos</w:t>
      </w:r>
    </w:p>
    <w:p w14:paraId="375DDE5B" w14:textId="77777777" w:rsidR="009A0DA1" w:rsidRPr="003729B2" w:rsidRDefault="009A0DA1" w:rsidP="009A0DA1">
      <w:pPr>
        <w:jc w:val="both"/>
        <w:rPr>
          <w:rFonts w:ascii="Arial 12" w:hAnsi="Arial 12"/>
          <w:sz w:val="24"/>
          <w:szCs w:val="24"/>
        </w:rPr>
      </w:pPr>
      <w:r w:rsidRPr="003729B2">
        <w:rPr>
          <w:rFonts w:ascii="Arial 12" w:hAnsi="Arial 12"/>
          <w:sz w:val="24"/>
          <w:szCs w:val="24"/>
        </w:rPr>
        <w:t xml:space="preserve">Inírida, </w:t>
      </w:r>
      <w:proofErr w:type="spellStart"/>
      <w:r w:rsidRPr="003729B2">
        <w:rPr>
          <w:rFonts w:ascii="Arial 12" w:hAnsi="Arial 12"/>
          <w:sz w:val="24"/>
          <w:szCs w:val="24"/>
        </w:rPr>
        <w:t>Atabapo</w:t>
      </w:r>
      <w:proofErr w:type="spellEnd"/>
      <w:r w:rsidRPr="003729B2">
        <w:rPr>
          <w:rFonts w:ascii="Arial 12" w:hAnsi="Arial 12"/>
          <w:sz w:val="24"/>
          <w:szCs w:val="24"/>
        </w:rPr>
        <w:t>, Guainía y río Negro. Esta actividad genera transformaciones drásticas en la</w:t>
      </w:r>
    </w:p>
    <w:p w14:paraId="2728109E" w14:textId="77777777" w:rsidR="009A0DA1" w:rsidRPr="003729B2" w:rsidRDefault="009A0DA1" w:rsidP="009A0DA1">
      <w:pPr>
        <w:jc w:val="both"/>
        <w:rPr>
          <w:rFonts w:ascii="Arial 12" w:hAnsi="Arial 12"/>
          <w:sz w:val="24"/>
          <w:szCs w:val="24"/>
        </w:rPr>
      </w:pPr>
      <w:r w:rsidRPr="003729B2">
        <w:rPr>
          <w:rFonts w:ascii="Arial 12" w:hAnsi="Arial 12"/>
          <w:sz w:val="24"/>
          <w:szCs w:val="24"/>
        </w:rPr>
        <w:t>morfología de los cauces, un aumento desmedido de la sedimentación que destruye los</w:t>
      </w:r>
    </w:p>
    <w:p w14:paraId="471242C8" w14:textId="77777777" w:rsidR="009A0DA1" w:rsidRPr="003729B2" w:rsidRDefault="009A0DA1" w:rsidP="009A0DA1">
      <w:pPr>
        <w:jc w:val="both"/>
        <w:rPr>
          <w:rFonts w:ascii="Arial 12" w:hAnsi="Arial 12"/>
          <w:sz w:val="24"/>
          <w:szCs w:val="24"/>
        </w:rPr>
      </w:pPr>
      <w:r w:rsidRPr="003729B2">
        <w:rPr>
          <w:rFonts w:ascii="Arial 12" w:hAnsi="Arial 12"/>
          <w:sz w:val="24"/>
          <w:szCs w:val="24"/>
        </w:rPr>
        <w:t>hábitats de reproducción de la fauna íctica y una pérdida irreversible de la biodiversidad</w:t>
      </w:r>
    </w:p>
    <w:p w14:paraId="2298D424" w14:textId="77777777" w:rsidR="009A0DA1" w:rsidRPr="003729B2" w:rsidRDefault="009A0DA1" w:rsidP="009A0DA1">
      <w:pPr>
        <w:jc w:val="both"/>
        <w:rPr>
          <w:rFonts w:ascii="Arial 12" w:hAnsi="Arial 12"/>
          <w:sz w:val="24"/>
          <w:szCs w:val="24"/>
        </w:rPr>
      </w:pPr>
      <w:r w:rsidRPr="003729B2">
        <w:rPr>
          <w:rFonts w:ascii="Arial 12" w:hAnsi="Arial 12"/>
          <w:sz w:val="24"/>
          <w:szCs w:val="24"/>
        </w:rPr>
        <w:t>acuática endémica. Sin embargo, el impacto ambiental más crítico y silencioso está asociado</w:t>
      </w:r>
    </w:p>
    <w:p w14:paraId="5C0F289E" w14:textId="77777777" w:rsidR="009A0DA1" w:rsidRPr="003729B2" w:rsidRDefault="009A0DA1" w:rsidP="009A0DA1">
      <w:pPr>
        <w:jc w:val="both"/>
        <w:rPr>
          <w:rFonts w:ascii="Arial 12" w:hAnsi="Arial 12"/>
          <w:sz w:val="24"/>
          <w:szCs w:val="24"/>
        </w:rPr>
      </w:pPr>
    </w:p>
    <w:p w14:paraId="4C961070" w14:textId="77777777" w:rsidR="009A0DA1" w:rsidRPr="003729B2" w:rsidRDefault="009A0DA1" w:rsidP="009A0DA1">
      <w:pPr>
        <w:jc w:val="both"/>
        <w:rPr>
          <w:rFonts w:ascii="Arial 12" w:hAnsi="Arial 12"/>
          <w:sz w:val="24"/>
          <w:szCs w:val="24"/>
        </w:rPr>
      </w:pPr>
      <w:r w:rsidRPr="003729B2">
        <w:rPr>
          <w:rFonts w:ascii="Arial 12" w:hAnsi="Arial 12"/>
          <w:sz w:val="24"/>
          <w:szCs w:val="24"/>
        </w:rPr>
        <w:t>al uso de sustancias químicas altamente tóxicas como el mercurio para la amalgama de oro.</w:t>
      </w:r>
    </w:p>
    <w:p w14:paraId="340166C4" w14:textId="77777777" w:rsidR="009A0DA1" w:rsidRPr="003729B2" w:rsidRDefault="009A0DA1" w:rsidP="009A0DA1">
      <w:pPr>
        <w:jc w:val="both"/>
        <w:rPr>
          <w:rFonts w:ascii="Arial 12" w:hAnsi="Arial 12"/>
          <w:sz w:val="24"/>
          <w:szCs w:val="24"/>
        </w:rPr>
      </w:pPr>
      <w:r w:rsidRPr="003729B2">
        <w:rPr>
          <w:rFonts w:ascii="Arial 12" w:hAnsi="Arial 12"/>
          <w:sz w:val="24"/>
          <w:szCs w:val="24"/>
        </w:rPr>
        <w:t>El vertimiento directo de este metal pesado a los ecosistemas acuáticos provoca un fenómeno</w:t>
      </w:r>
    </w:p>
    <w:p w14:paraId="34D02B05" w14:textId="77777777" w:rsidR="009A0DA1" w:rsidRPr="003729B2" w:rsidRDefault="009A0DA1" w:rsidP="009A0DA1">
      <w:pPr>
        <w:jc w:val="both"/>
        <w:rPr>
          <w:rFonts w:ascii="Arial 12" w:hAnsi="Arial 12"/>
          <w:sz w:val="24"/>
          <w:szCs w:val="24"/>
        </w:rPr>
      </w:pPr>
      <w:r w:rsidRPr="003729B2">
        <w:rPr>
          <w:rFonts w:ascii="Arial 12" w:hAnsi="Arial 12"/>
          <w:sz w:val="24"/>
          <w:szCs w:val="24"/>
        </w:rPr>
        <w:t>de bioacumulación a lo largo de la cadena trófica, contaminando severamente a las especies</w:t>
      </w:r>
    </w:p>
    <w:p w14:paraId="310F3309" w14:textId="77777777" w:rsidR="009A0DA1" w:rsidRPr="003729B2" w:rsidRDefault="009A0DA1" w:rsidP="009A0DA1">
      <w:pPr>
        <w:jc w:val="both"/>
        <w:rPr>
          <w:rFonts w:ascii="Arial 12" w:hAnsi="Arial 12"/>
          <w:sz w:val="24"/>
          <w:szCs w:val="24"/>
        </w:rPr>
      </w:pPr>
      <w:r w:rsidRPr="003729B2">
        <w:rPr>
          <w:rFonts w:ascii="Arial 12" w:hAnsi="Arial 12"/>
          <w:sz w:val="24"/>
          <w:szCs w:val="24"/>
        </w:rPr>
        <w:t>de peces que constituyen la principal fuente de proteína y subsistencia alimentaria para las</w:t>
      </w:r>
    </w:p>
    <w:p w14:paraId="2F25C067" w14:textId="77777777" w:rsidR="009A0DA1" w:rsidRPr="003729B2" w:rsidRDefault="009A0DA1" w:rsidP="009A0DA1">
      <w:pPr>
        <w:jc w:val="both"/>
        <w:rPr>
          <w:rFonts w:ascii="Arial 12" w:hAnsi="Arial 12"/>
          <w:sz w:val="24"/>
          <w:szCs w:val="24"/>
        </w:rPr>
      </w:pPr>
      <w:r w:rsidRPr="003729B2">
        <w:rPr>
          <w:rFonts w:ascii="Arial 12" w:hAnsi="Arial 12"/>
          <w:sz w:val="24"/>
          <w:szCs w:val="24"/>
        </w:rPr>
        <w:t>comunidades indígenas ribereñas.</w:t>
      </w:r>
    </w:p>
    <w:p w14:paraId="56530AFB" w14:textId="77777777" w:rsidR="009A0DA1" w:rsidRPr="003729B2" w:rsidRDefault="009A0DA1" w:rsidP="009A0DA1">
      <w:pPr>
        <w:jc w:val="both"/>
        <w:rPr>
          <w:rFonts w:ascii="Arial 12" w:hAnsi="Arial 12"/>
          <w:sz w:val="24"/>
          <w:szCs w:val="24"/>
        </w:rPr>
      </w:pPr>
    </w:p>
    <w:p w14:paraId="4AD917AC" w14:textId="77777777" w:rsidR="009A0DA1" w:rsidRPr="003729B2" w:rsidRDefault="009A0DA1" w:rsidP="009A0DA1">
      <w:pPr>
        <w:jc w:val="both"/>
        <w:rPr>
          <w:rFonts w:ascii="Arial 12" w:hAnsi="Arial 12"/>
          <w:sz w:val="24"/>
          <w:szCs w:val="24"/>
        </w:rPr>
      </w:pPr>
      <w:r w:rsidRPr="003729B2">
        <w:rPr>
          <w:rFonts w:ascii="Arial 12" w:hAnsi="Arial 12"/>
          <w:sz w:val="24"/>
          <w:szCs w:val="24"/>
        </w:rPr>
        <w:t xml:space="preserve">Impacto </w:t>
      </w:r>
      <w:proofErr w:type="gramStart"/>
      <w:r w:rsidRPr="003729B2">
        <w:rPr>
          <w:rFonts w:ascii="Arial 12" w:hAnsi="Arial 12"/>
          <w:sz w:val="24"/>
          <w:szCs w:val="24"/>
        </w:rPr>
        <w:t>Socio-Cultural</w:t>
      </w:r>
      <w:proofErr w:type="gramEnd"/>
      <w:r w:rsidRPr="003729B2">
        <w:rPr>
          <w:rFonts w:ascii="Arial 12" w:hAnsi="Arial 12"/>
          <w:sz w:val="24"/>
          <w:szCs w:val="24"/>
        </w:rPr>
        <w:t xml:space="preserve"> y Fractura del Tejido Comunitario</w:t>
      </w:r>
    </w:p>
    <w:p w14:paraId="056E0F2F" w14:textId="77777777" w:rsidR="009A0DA1" w:rsidRPr="003729B2" w:rsidRDefault="009A0DA1" w:rsidP="009A0DA1">
      <w:pPr>
        <w:jc w:val="both"/>
        <w:rPr>
          <w:rFonts w:ascii="Arial 12" w:hAnsi="Arial 12"/>
          <w:sz w:val="24"/>
          <w:szCs w:val="24"/>
        </w:rPr>
      </w:pPr>
    </w:p>
    <w:p w14:paraId="6A492E8D" w14:textId="77777777" w:rsidR="009A0DA1" w:rsidRPr="003729B2" w:rsidRDefault="009A0DA1" w:rsidP="009A0DA1">
      <w:pPr>
        <w:jc w:val="both"/>
        <w:rPr>
          <w:rFonts w:ascii="Arial 12" w:hAnsi="Arial 12"/>
          <w:sz w:val="24"/>
          <w:szCs w:val="24"/>
        </w:rPr>
      </w:pPr>
      <w:r w:rsidRPr="003729B2">
        <w:rPr>
          <w:rFonts w:ascii="Arial 12" w:hAnsi="Arial 12"/>
          <w:sz w:val="24"/>
          <w:szCs w:val="24"/>
        </w:rPr>
        <w:t>La introducción forzada de la economía minera ilegal en los resguardos del Guainía</w:t>
      </w:r>
    </w:p>
    <w:p w14:paraId="148BC512" w14:textId="77777777" w:rsidR="009A0DA1" w:rsidRPr="003729B2" w:rsidRDefault="009A0DA1" w:rsidP="009A0DA1">
      <w:pPr>
        <w:jc w:val="both"/>
        <w:rPr>
          <w:rFonts w:ascii="Arial 12" w:hAnsi="Arial 12"/>
          <w:sz w:val="24"/>
          <w:szCs w:val="24"/>
        </w:rPr>
      </w:pPr>
      <w:r w:rsidRPr="003729B2">
        <w:rPr>
          <w:rFonts w:ascii="Arial 12" w:hAnsi="Arial 12"/>
          <w:sz w:val="24"/>
          <w:szCs w:val="24"/>
        </w:rPr>
        <w:t>altera profundamente el tejido social, la cultura y las prácticas tradicionales de subsistencia de</w:t>
      </w:r>
    </w:p>
    <w:p w14:paraId="511401F4" w14:textId="77777777" w:rsidR="009A0DA1" w:rsidRPr="003729B2" w:rsidRDefault="009A0DA1" w:rsidP="009A0DA1">
      <w:pPr>
        <w:jc w:val="both"/>
        <w:rPr>
          <w:rFonts w:ascii="Arial 12" w:hAnsi="Arial 12"/>
          <w:sz w:val="24"/>
          <w:szCs w:val="24"/>
        </w:rPr>
      </w:pPr>
      <w:r w:rsidRPr="003729B2">
        <w:rPr>
          <w:rFonts w:ascii="Arial 12" w:hAnsi="Arial 12"/>
          <w:sz w:val="24"/>
          <w:szCs w:val="24"/>
        </w:rPr>
        <w:t>las comunidades indígenas. El arraigo territorial y los sistemas de gobierno propio se</w:t>
      </w:r>
    </w:p>
    <w:p w14:paraId="079BD33F" w14:textId="77777777" w:rsidR="009A0DA1" w:rsidRPr="003729B2" w:rsidRDefault="009A0DA1" w:rsidP="009A0DA1">
      <w:pPr>
        <w:jc w:val="both"/>
        <w:rPr>
          <w:rFonts w:ascii="Arial 12" w:hAnsi="Arial 12"/>
          <w:sz w:val="24"/>
          <w:szCs w:val="24"/>
        </w:rPr>
      </w:pPr>
      <w:r w:rsidRPr="003729B2">
        <w:rPr>
          <w:rFonts w:ascii="Arial 12" w:hAnsi="Arial 12"/>
          <w:sz w:val="24"/>
          <w:szCs w:val="24"/>
        </w:rPr>
        <w:t>encuentran bajo una constante amenaza debido a las presiones coactivas de los actores</w:t>
      </w:r>
    </w:p>
    <w:p w14:paraId="0003D70E" w14:textId="77777777" w:rsidR="009A0DA1" w:rsidRPr="003729B2" w:rsidRDefault="009A0DA1" w:rsidP="009A0DA1">
      <w:pPr>
        <w:jc w:val="both"/>
        <w:rPr>
          <w:rFonts w:ascii="Arial 12" w:hAnsi="Arial 12"/>
          <w:sz w:val="24"/>
          <w:szCs w:val="24"/>
        </w:rPr>
      </w:pPr>
      <w:r w:rsidRPr="003729B2">
        <w:rPr>
          <w:rFonts w:ascii="Arial 12" w:hAnsi="Arial 12"/>
          <w:sz w:val="24"/>
          <w:szCs w:val="24"/>
        </w:rPr>
        <w:t>armados, lo que ha generado el debilitamiento de las autoridades tradicionales y la</w:t>
      </w:r>
    </w:p>
    <w:p w14:paraId="2E5DEC49" w14:textId="77777777" w:rsidR="009A0DA1" w:rsidRPr="003729B2" w:rsidRDefault="009A0DA1" w:rsidP="009A0DA1">
      <w:pPr>
        <w:jc w:val="both"/>
        <w:rPr>
          <w:rFonts w:ascii="Arial 12" w:hAnsi="Arial 12"/>
          <w:sz w:val="24"/>
          <w:szCs w:val="24"/>
        </w:rPr>
      </w:pPr>
      <w:r w:rsidRPr="003729B2">
        <w:rPr>
          <w:rFonts w:ascii="Arial 12" w:hAnsi="Arial 12"/>
          <w:sz w:val="24"/>
          <w:szCs w:val="24"/>
        </w:rPr>
        <w:t>vulneración de los derechos colectivos. El incentivo económico inmediato derivado de la</w:t>
      </w:r>
    </w:p>
    <w:p w14:paraId="643E68D6" w14:textId="77777777" w:rsidR="009A0DA1" w:rsidRPr="003729B2" w:rsidRDefault="009A0DA1" w:rsidP="009A0DA1">
      <w:pPr>
        <w:jc w:val="both"/>
        <w:rPr>
          <w:rFonts w:ascii="Arial 12" w:hAnsi="Arial 12"/>
          <w:sz w:val="24"/>
          <w:szCs w:val="24"/>
        </w:rPr>
      </w:pPr>
      <w:r w:rsidRPr="003729B2">
        <w:rPr>
          <w:rFonts w:ascii="Arial 12" w:hAnsi="Arial 12"/>
          <w:sz w:val="24"/>
          <w:szCs w:val="24"/>
        </w:rPr>
        <w:t>minería ilegal desestimula la realización de actividades ancestrales esenciales para la</w:t>
      </w:r>
    </w:p>
    <w:p w14:paraId="4948C9DF" w14:textId="77777777" w:rsidR="009A0DA1" w:rsidRPr="003729B2" w:rsidRDefault="009A0DA1" w:rsidP="009A0DA1">
      <w:pPr>
        <w:jc w:val="both"/>
        <w:rPr>
          <w:rFonts w:ascii="Arial 12" w:hAnsi="Arial 12"/>
          <w:sz w:val="24"/>
          <w:szCs w:val="24"/>
        </w:rPr>
      </w:pPr>
      <w:r w:rsidRPr="003729B2">
        <w:rPr>
          <w:rFonts w:ascii="Arial 12" w:hAnsi="Arial 12"/>
          <w:sz w:val="24"/>
          <w:szCs w:val="24"/>
        </w:rPr>
        <w:t>seguridad alimentaria, como el cultivo de las chagras, la caza y la pesca sostenible,</w:t>
      </w:r>
    </w:p>
    <w:p w14:paraId="0875565E" w14:textId="77777777" w:rsidR="009A0DA1" w:rsidRPr="003729B2" w:rsidRDefault="009A0DA1" w:rsidP="009A0DA1">
      <w:pPr>
        <w:jc w:val="both"/>
        <w:rPr>
          <w:rFonts w:ascii="Arial 12" w:hAnsi="Arial 12"/>
          <w:sz w:val="24"/>
          <w:szCs w:val="24"/>
        </w:rPr>
      </w:pPr>
      <w:r w:rsidRPr="003729B2">
        <w:rPr>
          <w:rFonts w:ascii="Arial 12" w:hAnsi="Arial 12"/>
          <w:sz w:val="24"/>
          <w:szCs w:val="24"/>
        </w:rPr>
        <w:t>sustituyéndolas por nuevos patrones de consumo monetizados que profundizan la</w:t>
      </w:r>
    </w:p>
    <w:p w14:paraId="187F0C46" w14:textId="77777777" w:rsidR="009A0DA1" w:rsidRPr="003729B2" w:rsidRDefault="009A0DA1" w:rsidP="009A0DA1">
      <w:pPr>
        <w:jc w:val="both"/>
        <w:rPr>
          <w:rFonts w:ascii="Arial 12" w:hAnsi="Arial 12"/>
          <w:sz w:val="24"/>
          <w:szCs w:val="24"/>
        </w:rPr>
      </w:pPr>
      <w:r w:rsidRPr="003729B2">
        <w:rPr>
          <w:rFonts w:ascii="Arial 12" w:hAnsi="Arial 12"/>
          <w:sz w:val="24"/>
          <w:szCs w:val="24"/>
        </w:rPr>
        <w:t xml:space="preserve">vulnerabilidad socioeconómica de los pueblos </w:t>
      </w:r>
      <w:proofErr w:type="spellStart"/>
      <w:r w:rsidRPr="003729B2">
        <w:rPr>
          <w:rFonts w:ascii="Arial 12" w:hAnsi="Arial 12"/>
          <w:sz w:val="24"/>
          <w:szCs w:val="24"/>
        </w:rPr>
        <w:t>Curripaco</w:t>
      </w:r>
      <w:proofErr w:type="spellEnd"/>
      <w:r w:rsidRPr="003729B2">
        <w:rPr>
          <w:rFonts w:ascii="Arial 12" w:hAnsi="Arial 12"/>
          <w:sz w:val="24"/>
          <w:szCs w:val="24"/>
        </w:rPr>
        <w:t xml:space="preserve"> y </w:t>
      </w:r>
      <w:proofErr w:type="spellStart"/>
      <w:r w:rsidRPr="003729B2">
        <w:rPr>
          <w:rFonts w:ascii="Arial 12" w:hAnsi="Arial 12"/>
          <w:sz w:val="24"/>
          <w:szCs w:val="24"/>
        </w:rPr>
        <w:t>Puinave</w:t>
      </w:r>
      <w:proofErr w:type="spellEnd"/>
      <w:r w:rsidRPr="003729B2">
        <w:rPr>
          <w:rFonts w:ascii="Arial 12" w:hAnsi="Arial 12"/>
          <w:sz w:val="24"/>
          <w:szCs w:val="24"/>
        </w:rPr>
        <w:t>.</w:t>
      </w:r>
    </w:p>
    <w:p w14:paraId="5D068EC7" w14:textId="77777777" w:rsidR="009A0DA1" w:rsidRPr="003729B2" w:rsidRDefault="009A0DA1" w:rsidP="009A0DA1">
      <w:pPr>
        <w:jc w:val="both"/>
        <w:rPr>
          <w:rFonts w:ascii="Arial 12" w:hAnsi="Arial 12"/>
          <w:sz w:val="24"/>
          <w:szCs w:val="24"/>
        </w:rPr>
      </w:pPr>
      <w:r w:rsidRPr="003729B2">
        <w:rPr>
          <w:rFonts w:ascii="Arial 12" w:hAnsi="Arial 12"/>
          <w:sz w:val="24"/>
          <w:szCs w:val="24"/>
        </w:rPr>
        <w:t>Asimismo, los sectores más vulnerables dentro de los resguardos se ven expuestos a</w:t>
      </w:r>
    </w:p>
    <w:p w14:paraId="5FA04EB8" w14:textId="77777777" w:rsidR="009A0DA1" w:rsidRPr="003729B2" w:rsidRDefault="009A0DA1" w:rsidP="009A0DA1">
      <w:pPr>
        <w:jc w:val="both"/>
        <w:rPr>
          <w:rFonts w:ascii="Arial 12" w:hAnsi="Arial 12"/>
          <w:sz w:val="24"/>
          <w:szCs w:val="24"/>
        </w:rPr>
      </w:pPr>
      <w:r w:rsidRPr="003729B2">
        <w:rPr>
          <w:rFonts w:ascii="Arial 12" w:hAnsi="Arial 12"/>
          <w:sz w:val="24"/>
          <w:szCs w:val="24"/>
        </w:rPr>
        <w:t>graves riesgos humanitarios y de vulneración de derechos humanos fundamentales. La</w:t>
      </w:r>
    </w:p>
    <w:p w14:paraId="23F8CE4C" w14:textId="77777777" w:rsidR="009A0DA1" w:rsidRPr="003729B2" w:rsidRDefault="009A0DA1" w:rsidP="009A0DA1">
      <w:pPr>
        <w:jc w:val="both"/>
        <w:rPr>
          <w:rFonts w:ascii="Arial 12" w:hAnsi="Arial 12"/>
          <w:sz w:val="24"/>
          <w:szCs w:val="24"/>
        </w:rPr>
      </w:pPr>
      <w:r w:rsidRPr="003729B2">
        <w:rPr>
          <w:rFonts w:ascii="Arial 12" w:hAnsi="Arial 12"/>
          <w:sz w:val="24"/>
          <w:szCs w:val="24"/>
        </w:rPr>
        <w:t>necesidad de subsistencia en un contexto de marginalidad económica obliga a jóvenes,</w:t>
      </w:r>
    </w:p>
    <w:p w14:paraId="1B0F1134" w14:textId="77777777" w:rsidR="009A0DA1" w:rsidRPr="003729B2" w:rsidRDefault="009A0DA1" w:rsidP="009A0DA1">
      <w:pPr>
        <w:jc w:val="both"/>
        <w:rPr>
          <w:rFonts w:ascii="Arial 12" w:hAnsi="Arial 12"/>
          <w:sz w:val="24"/>
          <w:szCs w:val="24"/>
        </w:rPr>
      </w:pPr>
      <w:proofErr w:type="gramStart"/>
      <w:r w:rsidRPr="003729B2">
        <w:rPr>
          <w:rFonts w:ascii="Arial 12" w:hAnsi="Arial 12"/>
          <w:sz w:val="24"/>
          <w:szCs w:val="24"/>
        </w:rPr>
        <w:t>mujeres y población migrante a vincularse</w:t>
      </w:r>
      <w:proofErr w:type="gramEnd"/>
      <w:r w:rsidRPr="003729B2">
        <w:rPr>
          <w:rFonts w:ascii="Arial 12" w:hAnsi="Arial 12"/>
          <w:sz w:val="24"/>
          <w:szCs w:val="24"/>
        </w:rPr>
        <w:t xml:space="preserve"> como mano de obra en los eslabones más débiles</w:t>
      </w:r>
    </w:p>
    <w:p w14:paraId="2C13B855" w14:textId="77777777" w:rsidR="009A0DA1" w:rsidRPr="003729B2" w:rsidRDefault="009A0DA1" w:rsidP="009A0DA1">
      <w:pPr>
        <w:jc w:val="both"/>
        <w:rPr>
          <w:rFonts w:ascii="Arial 12" w:hAnsi="Arial 12"/>
          <w:sz w:val="24"/>
          <w:szCs w:val="24"/>
        </w:rPr>
      </w:pPr>
      <w:r w:rsidRPr="003729B2">
        <w:rPr>
          <w:rFonts w:ascii="Arial 12" w:hAnsi="Arial 12"/>
          <w:sz w:val="24"/>
          <w:szCs w:val="24"/>
        </w:rPr>
        <w:t>de la cadena de explotación. Esto incrementa de manera drástica fenómenos delictivos como</w:t>
      </w:r>
    </w:p>
    <w:p w14:paraId="0B935073" w14:textId="77777777" w:rsidR="009A0DA1" w:rsidRPr="003729B2" w:rsidRDefault="009A0DA1" w:rsidP="009A0DA1">
      <w:pPr>
        <w:jc w:val="both"/>
        <w:rPr>
          <w:rFonts w:ascii="Arial 12" w:hAnsi="Arial 12"/>
          <w:sz w:val="24"/>
          <w:szCs w:val="24"/>
        </w:rPr>
      </w:pPr>
      <w:r w:rsidRPr="003729B2">
        <w:rPr>
          <w:rFonts w:ascii="Arial 12" w:hAnsi="Arial 12"/>
          <w:sz w:val="24"/>
          <w:szCs w:val="24"/>
        </w:rPr>
        <w:t>la explotación sexual comercial, el trabajo forzado, la deserción escolar y el consumo de</w:t>
      </w:r>
    </w:p>
    <w:p w14:paraId="2D820EC4" w14:textId="77777777" w:rsidR="009A0DA1" w:rsidRPr="003729B2" w:rsidRDefault="009A0DA1" w:rsidP="009A0DA1">
      <w:pPr>
        <w:jc w:val="both"/>
        <w:rPr>
          <w:rFonts w:ascii="Arial 12" w:hAnsi="Arial 12"/>
          <w:sz w:val="24"/>
          <w:szCs w:val="24"/>
        </w:rPr>
      </w:pPr>
      <w:r w:rsidRPr="003729B2">
        <w:rPr>
          <w:rFonts w:ascii="Arial 12" w:hAnsi="Arial 12"/>
          <w:sz w:val="24"/>
          <w:szCs w:val="24"/>
        </w:rPr>
        <w:t>sustancias psicoactivas. El Sistema de Alertas Tempranas de la Defensoría del Pueblo ha</w:t>
      </w:r>
    </w:p>
    <w:p w14:paraId="717D3783" w14:textId="77777777" w:rsidR="009A0DA1" w:rsidRPr="003729B2" w:rsidRDefault="009A0DA1" w:rsidP="009A0DA1">
      <w:pPr>
        <w:jc w:val="both"/>
        <w:rPr>
          <w:rFonts w:ascii="Arial 12" w:hAnsi="Arial 12"/>
          <w:sz w:val="24"/>
          <w:szCs w:val="24"/>
        </w:rPr>
      </w:pPr>
      <w:r w:rsidRPr="003729B2">
        <w:rPr>
          <w:rFonts w:ascii="Arial 12" w:hAnsi="Arial 12"/>
          <w:sz w:val="24"/>
          <w:szCs w:val="24"/>
        </w:rPr>
        <w:t>advertido con preocupación que esta dinámica facilita el reclutamiento ilícito de niños, niñas</w:t>
      </w:r>
    </w:p>
    <w:p w14:paraId="6BC79346" w14:textId="77777777" w:rsidR="009A0DA1" w:rsidRPr="003729B2" w:rsidRDefault="009A0DA1" w:rsidP="009A0DA1">
      <w:pPr>
        <w:jc w:val="both"/>
        <w:rPr>
          <w:rFonts w:ascii="Arial 12" w:hAnsi="Arial 12"/>
          <w:sz w:val="24"/>
          <w:szCs w:val="24"/>
        </w:rPr>
      </w:pPr>
      <w:r w:rsidRPr="003729B2">
        <w:rPr>
          <w:rFonts w:ascii="Arial 12" w:hAnsi="Arial 12"/>
          <w:sz w:val="24"/>
          <w:szCs w:val="24"/>
        </w:rPr>
        <w:lastRenderedPageBreak/>
        <w:t>y adolescentes por parte de los GAO, fragmentando el núcleo familiar y desdibujando los</w:t>
      </w:r>
    </w:p>
    <w:p w14:paraId="6269D9D7" w14:textId="77777777" w:rsidR="009A0DA1" w:rsidRPr="003729B2" w:rsidRDefault="009A0DA1" w:rsidP="009A0DA1">
      <w:pPr>
        <w:jc w:val="both"/>
        <w:rPr>
          <w:rFonts w:ascii="Arial 12" w:hAnsi="Arial 12"/>
          <w:sz w:val="24"/>
          <w:szCs w:val="24"/>
        </w:rPr>
      </w:pPr>
      <w:r w:rsidRPr="003729B2">
        <w:rPr>
          <w:rFonts w:ascii="Arial 12" w:hAnsi="Arial 12"/>
          <w:sz w:val="24"/>
          <w:szCs w:val="24"/>
        </w:rPr>
        <w:t>liderazgos comunitarios tradicionales.</w:t>
      </w:r>
    </w:p>
    <w:p w14:paraId="11D6FF39" w14:textId="77777777" w:rsidR="009A0DA1" w:rsidRPr="003729B2" w:rsidRDefault="009A0DA1" w:rsidP="009A0DA1">
      <w:pPr>
        <w:jc w:val="both"/>
        <w:rPr>
          <w:rFonts w:ascii="Arial 12" w:hAnsi="Arial 12"/>
          <w:sz w:val="24"/>
          <w:szCs w:val="24"/>
        </w:rPr>
      </w:pPr>
    </w:p>
    <w:p w14:paraId="0009F9B0" w14:textId="77777777" w:rsidR="009A0DA1" w:rsidRPr="003729B2" w:rsidRDefault="009A0DA1" w:rsidP="009A0DA1">
      <w:pPr>
        <w:jc w:val="both"/>
        <w:rPr>
          <w:rFonts w:ascii="Arial 12" w:hAnsi="Arial 12"/>
          <w:sz w:val="24"/>
          <w:szCs w:val="24"/>
        </w:rPr>
      </w:pPr>
      <w:r w:rsidRPr="003729B2">
        <w:rPr>
          <w:rFonts w:ascii="Arial 12" w:hAnsi="Arial 12"/>
          <w:sz w:val="24"/>
          <w:szCs w:val="24"/>
        </w:rPr>
        <w:t>Conclusiones y Rutas de Mitigación Integral</w:t>
      </w:r>
    </w:p>
    <w:p w14:paraId="19BC8F76" w14:textId="77777777" w:rsidR="009A0DA1" w:rsidRPr="003729B2" w:rsidRDefault="009A0DA1" w:rsidP="009A0DA1">
      <w:pPr>
        <w:jc w:val="both"/>
        <w:rPr>
          <w:rFonts w:ascii="Arial 12" w:hAnsi="Arial 12"/>
          <w:sz w:val="24"/>
          <w:szCs w:val="24"/>
        </w:rPr>
      </w:pPr>
    </w:p>
    <w:p w14:paraId="71D85006" w14:textId="77777777" w:rsidR="009A0DA1" w:rsidRPr="003729B2" w:rsidRDefault="009A0DA1" w:rsidP="009A0DA1">
      <w:pPr>
        <w:jc w:val="both"/>
        <w:rPr>
          <w:rFonts w:ascii="Arial 12" w:hAnsi="Arial 12"/>
          <w:sz w:val="24"/>
          <w:szCs w:val="24"/>
        </w:rPr>
      </w:pPr>
      <w:r w:rsidRPr="003729B2">
        <w:rPr>
          <w:rFonts w:ascii="Arial 12" w:hAnsi="Arial 12"/>
          <w:sz w:val="24"/>
          <w:szCs w:val="24"/>
        </w:rPr>
        <w:t>La superación de la crisis ambiental y humanitaria que enfrenta el departamento del</w:t>
      </w:r>
    </w:p>
    <w:p w14:paraId="1282D97B" w14:textId="77777777" w:rsidR="009A0DA1" w:rsidRPr="003729B2" w:rsidRDefault="009A0DA1" w:rsidP="009A0DA1">
      <w:pPr>
        <w:jc w:val="both"/>
        <w:rPr>
          <w:rFonts w:ascii="Arial 12" w:hAnsi="Arial 12"/>
          <w:sz w:val="24"/>
          <w:szCs w:val="24"/>
        </w:rPr>
      </w:pPr>
      <w:r w:rsidRPr="003729B2">
        <w:rPr>
          <w:rFonts w:ascii="Arial 12" w:hAnsi="Arial 12"/>
          <w:sz w:val="24"/>
          <w:szCs w:val="24"/>
        </w:rPr>
        <w:t>Guainía requiere un enfoque de intervención estatal integral y multidimensional que</w:t>
      </w:r>
    </w:p>
    <w:p w14:paraId="40DE094B" w14:textId="77777777" w:rsidR="009A0DA1" w:rsidRPr="003729B2" w:rsidRDefault="009A0DA1" w:rsidP="009A0DA1">
      <w:pPr>
        <w:jc w:val="both"/>
        <w:rPr>
          <w:rFonts w:ascii="Arial 12" w:hAnsi="Arial 12"/>
          <w:sz w:val="24"/>
          <w:szCs w:val="24"/>
        </w:rPr>
      </w:pPr>
      <w:r w:rsidRPr="003729B2">
        <w:rPr>
          <w:rFonts w:ascii="Arial 12" w:hAnsi="Arial 12"/>
          <w:sz w:val="24"/>
          <w:szCs w:val="24"/>
        </w:rPr>
        <w:t>trascienda la respuesta puramente militar. Es imperativo consolidar la presencia civil de las</w:t>
      </w:r>
    </w:p>
    <w:p w14:paraId="21175246" w14:textId="77777777" w:rsidR="009A0DA1" w:rsidRPr="003729B2" w:rsidRDefault="009A0DA1" w:rsidP="009A0DA1">
      <w:pPr>
        <w:jc w:val="both"/>
        <w:rPr>
          <w:rFonts w:ascii="Arial 12" w:hAnsi="Arial 12"/>
          <w:sz w:val="24"/>
          <w:szCs w:val="24"/>
        </w:rPr>
      </w:pPr>
      <w:r w:rsidRPr="003729B2">
        <w:rPr>
          <w:rFonts w:ascii="Arial 12" w:hAnsi="Arial 12"/>
          <w:sz w:val="24"/>
          <w:szCs w:val="24"/>
        </w:rPr>
        <w:t>instituciones del Estado mediante inversiones estructurales en servicios básicos, salud</w:t>
      </w:r>
    </w:p>
    <w:p w14:paraId="16BBFA9C" w14:textId="77777777" w:rsidR="009A0DA1" w:rsidRPr="003729B2" w:rsidRDefault="009A0DA1" w:rsidP="009A0DA1">
      <w:pPr>
        <w:jc w:val="both"/>
        <w:rPr>
          <w:rFonts w:ascii="Arial 12" w:hAnsi="Arial 12"/>
          <w:sz w:val="24"/>
          <w:szCs w:val="24"/>
        </w:rPr>
      </w:pPr>
      <w:r w:rsidRPr="003729B2">
        <w:rPr>
          <w:rFonts w:ascii="Arial 12" w:hAnsi="Arial 12"/>
          <w:sz w:val="24"/>
          <w:szCs w:val="24"/>
        </w:rPr>
        <w:t>intercultural, conectividad y etnoeducación en las áreas rurales dispersas y zonas de frontera.</w:t>
      </w:r>
    </w:p>
    <w:p w14:paraId="4489E878" w14:textId="77777777" w:rsidR="009A0DA1" w:rsidRPr="003729B2" w:rsidRDefault="009A0DA1" w:rsidP="009A0DA1">
      <w:pPr>
        <w:jc w:val="both"/>
        <w:rPr>
          <w:rFonts w:ascii="Arial 12" w:hAnsi="Arial 12"/>
          <w:sz w:val="24"/>
          <w:szCs w:val="24"/>
        </w:rPr>
      </w:pPr>
      <w:r w:rsidRPr="003729B2">
        <w:rPr>
          <w:rFonts w:ascii="Arial 12" w:hAnsi="Arial 12"/>
          <w:sz w:val="24"/>
          <w:szCs w:val="24"/>
        </w:rPr>
        <w:t xml:space="preserve">Los modelos de desarrollo endógeno y las alternativas de ingresos sostenibles deben ser </w:t>
      </w:r>
      <w:proofErr w:type="spellStart"/>
      <w:r w:rsidRPr="003729B2">
        <w:rPr>
          <w:rFonts w:ascii="Arial 12" w:hAnsi="Arial 12"/>
          <w:sz w:val="24"/>
          <w:szCs w:val="24"/>
        </w:rPr>
        <w:t>co</w:t>
      </w:r>
      <w:proofErr w:type="spellEnd"/>
      <w:r w:rsidRPr="003729B2">
        <w:rPr>
          <w:rFonts w:ascii="Arial 12" w:hAnsi="Arial 12"/>
          <w:sz w:val="24"/>
          <w:szCs w:val="24"/>
        </w:rPr>
        <w:t>-</w:t>
      </w:r>
    </w:p>
    <w:p w14:paraId="79A82D77" w14:textId="77777777" w:rsidR="009A0DA1" w:rsidRPr="003729B2" w:rsidRDefault="009A0DA1" w:rsidP="009A0DA1">
      <w:pPr>
        <w:jc w:val="both"/>
        <w:rPr>
          <w:rFonts w:ascii="Arial 12" w:hAnsi="Arial 12"/>
          <w:sz w:val="24"/>
          <w:szCs w:val="24"/>
        </w:rPr>
      </w:pPr>
      <w:r w:rsidRPr="003729B2">
        <w:rPr>
          <w:rFonts w:ascii="Arial 12" w:hAnsi="Arial 12"/>
          <w:sz w:val="24"/>
          <w:szCs w:val="24"/>
        </w:rPr>
        <w:t>diseñados respetando el principio constitucional de consulta previa, libre e informada de las</w:t>
      </w:r>
    </w:p>
    <w:p w14:paraId="43E52152" w14:textId="77777777" w:rsidR="009A0DA1" w:rsidRPr="003729B2" w:rsidRDefault="009A0DA1" w:rsidP="009A0DA1">
      <w:pPr>
        <w:jc w:val="both"/>
        <w:rPr>
          <w:rFonts w:ascii="Arial 12" w:hAnsi="Arial 12"/>
          <w:sz w:val="24"/>
          <w:szCs w:val="24"/>
        </w:rPr>
      </w:pPr>
      <w:r w:rsidRPr="003729B2">
        <w:rPr>
          <w:rFonts w:ascii="Arial 12" w:hAnsi="Arial 12"/>
          <w:sz w:val="24"/>
          <w:szCs w:val="24"/>
        </w:rPr>
        <w:t>comunidades étnicas, fortaleciendo sus guardias indígenas y sistemas de control territorial</w:t>
      </w:r>
    </w:p>
    <w:p w14:paraId="483C20A1" w14:textId="77777777" w:rsidR="009A0DA1" w:rsidRPr="003729B2" w:rsidRDefault="009A0DA1" w:rsidP="009A0DA1">
      <w:pPr>
        <w:jc w:val="both"/>
        <w:rPr>
          <w:rFonts w:ascii="Arial 12" w:hAnsi="Arial 12"/>
          <w:sz w:val="24"/>
          <w:szCs w:val="24"/>
        </w:rPr>
      </w:pPr>
      <w:r w:rsidRPr="003729B2">
        <w:rPr>
          <w:rFonts w:ascii="Arial 12" w:hAnsi="Arial 12"/>
          <w:sz w:val="24"/>
          <w:szCs w:val="24"/>
        </w:rPr>
        <w:t>autónomos como barreras de protección comunitaria frente a la criminalidad transnacional.</w:t>
      </w:r>
    </w:p>
    <w:p w14:paraId="45BC9229" w14:textId="77777777" w:rsidR="009A0DA1" w:rsidRPr="003729B2" w:rsidRDefault="009A0DA1" w:rsidP="009A0DA1">
      <w:pPr>
        <w:jc w:val="both"/>
        <w:rPr>
          <w:rFonts w:ascii="Arial 12" w:hAnsi="Arial 12"/>
          <w:sz w:val="24"/>
          <w:szCs w:val="24"/>
        </w:rPr>
      </w:pPr>
      <w:r w:rsidRPr="003729B2">
        <w:rPr>
          <w:rFonts w:ascii="Arial 12" w:hAnsi="Arial 12"/>
          <w:sz w:val="24"/>
          <w:szCs w:val="24"/>
        </w:rPr>
        <w:t xml:space="preserve">Finalmente, la recuperación ecológica de los ríos </w:t>
      </w:r>
      <w:proofErr w:type="spellStart"/>
      <w:r w:rsidRPr="003729B2">
        <w:rPr>
          <w:rFonts w:ascii="Arial 12" w:hAnsi="Arial 12"/>
          <w:sz w:val="24"/>
          <w:szCs w:val="24"/>
        </w:rPr>
        <w:t>Atabapo</w:t>
      </w:r>
      <w:proofErr w:type="spellEnd"/>
      <w:r w:rsidRPr="003729B2">
        <w:rPr>
          <w:rFonts w:ascii="Arial 12" w:hAnsi="Arial 12"/>
          <w:sz w:val="24"/>
          <w:szCs w:val="24"/>
        </w:rPr>
        <w:t>, Inírida y Guainía exige la</w:t>
      </w:r>
    </w:p>
    <w:p w14:paraId="6E400848" w14:textId="77777777" w:rsidR="009A0DA1" w:rsidRPr="003729B2" w:rsidRDefault="009A0DA1" w:rsidP="009A0DA1">
      <w:pPr>
        <w:jc w:val="both"/>
        <w:rPr>
          <w:rFonts w:ascii="Arial 12" w:hAnsi="Arial 12"/>
          <w:sz w:val="24"/>
          <w:szCs w:val="24"/>
        </w:rPr>
      </w:pPr>
      <w:r w:rsidRPr="003729B2">
        <w:rPr>
          <w:rFonts w:ascii="Arial 12" w:hAnsi="Arial 12"/>
          <w:sz w:val="24"/>
          <w:szCs w:val="24"/>
        </w:rPr>
        <w:t>articulación urgente de políticas integrales de salud ambiental y planes de restauración</w:t>
      </w:r>
    </w:p>
    <w:p w14:paraId="298AA6BF" w14:textId="77777777" w:rsidR="009A0DA1" w:rsidRPr="003729B2" w:rsidRDefault="009A0DA1" w:rsidP="009A0DA1">
      <w:pPr>
        <w:jc w:val="both"/>
        <w:rPr>
          <w:rFonts w:ascii="Arial 12" w:hAnsi="Arial 12"/>
          <w:sz w:val="24"/>
          <w:szCs w:val="24"/>
        </w:rPr>
      </w:pPr>
      <w:r w:rsidRPr="003729B2">
        <w:rPr>
          <w:rFonts w:ascii="Arial 12" w:hAnsi="Arial 12"/>
          <w:sz w:val="24"/>
          <w:szCs w:val="24"/>
        </w:rPr>
        <w:t>enfocados en mitigar la contaminación por mercurio. Debido a la naturaleza transfronteriza</w:t>
      </w:r>
    </w:p>
    <w:p w14:paraId="472BB924" w14:textId="77777777" w:rsidR="009A0DA1" w:rsidRPr="003729B2" w:rsidRDefault="009A0DA1" w:rsidP="009A0DA1">
      <w:pPr>
        <w:jc w:val="both"/>
        <w:rPr>
          <w:rFonts w:ascii="Arial 12" w:hAnsi="Arial 12"/>
          <w:sz w:val="24"/>
          <w:szCs w:val="24"/>
        </w:rPr>
      </w:pPr>
      <w:r w:rsidRPr="003729B2">
        <w:rPr>
          <w:rFonts w:ascii="Arial 12" w:hAnsi="Arial 12"/>
          <w:sz w:val="24"/>
          <w:szCs w:val="24"/>
        </w:rPr>
        <w:t>de la minería ilegal y de los grupos armados que operan en los límites con el Estado</w:t>
      </w:r>
    </w:p>
    <w:p w14:paraId="736A660D" w14:textId="77777777" w:rsidR="009A0DA1" w:rsidRPr="003729B2" w:rsidRDefault="009A0DA1" w:rsidP="009A0DA1">
      <w:pPr>
        <w:jc w:val="both"/>
        <w:rPr>
          <w:rFonts w:ascii="Arial 12" w:hAnsi="Arial 12"/>
          <w:sz w:val="24"/>
          <w:szCs w:val="24"/>
        </w:rPr>
      </w:pPr>
      <w:r w:rsidRPr="003729B2">
        <w:rPr>
          <w:rFonts w:ascii="Arial 12" w:hAnsi="Arial 12"/>
          <w:sz w:val="24"/>
          <w:szCs w:val="24"/>
        </w:rPr>
        <w:t>Amazonas venezolano, la eficacia de las medidas de control y conservación de la</w:t>
      </w:r>
    </w:p>
    <w:p w14:paraId="53DA07F8" w14:textId="77777777" w:rsidR="009A0DA1" w:rsidRPr="003729B2" w:rsidRDefault="009A0DA1" w:rsidP="009A0DA1">
      <w:pPr>
        <w:jc w:val="both"/>
        <w:rPr>
          <w:rFonts w:ascii="Arial 12" w:hAnsi="Arial 12"/>
          <w:sz w:val="24"/>
          <w:szCs w:val="24"/>
        </w:rPr>
      </w:pPr>
      <w:r w:rsidRPr="003729B2">
        <w:rPr>
          <w:rFonts w:ascii="Arial 12" w:hAnsi="Arial 12"/>
          <w:sz w:val="24"/>
          <w:szCs w:val="24"/>
        </w:rPr>
        <w:t>biodiversidad de este sector de la Amazonía dependerá estrictamente del restablecimiento y</w:t>
      </w:r>
    </w:p>
    <w:p w14:paraId="6E7089AF" w14:textId="77777777" w:rsidR="009A0DA1" w:rsidRPr="003729B2" w:rsidRDefault="009A0DA1" w:rsidP="009A0DA1">
      <w:pPr>
        <w:jc w:val="both"/>
        <w:rPr>
          <w:rFonts w:ascii="Arial 12" w:hAnsi="Arial 12"/>
          <w:sz w:val="24"/>
          <w:szCs w:val="24"/>
        </w:rPr>
      </w:pPr>
      <w:r w:rsidRPr="003729B2">
        <w:rPr>
          <w:rFonts w:ascii="Arial 12" w:hAnsi="Arial 12"/>
          <w:sz w:val="24"/>
          <w:szCs w:val="24"/>
        </w:rPr>
        <w:lastRenderedPageBreak/>
        <w:t>fortalecimiento de los canales de cooperación diplomática y judicial binacional. Solo</w:t>
      </w:r>
    </w:p>
    <w:p w14:paraId="6E5F018C" w14:textId="77777777" w:rsidR="009A0DA1" w:rsidRPr="003729B2" w:rsidRDefault="009A0DA1" w:rsidP="009A0DA1">
      <w:pPr>
        <w:jc w:val="both"/>
        <w:rPr>
          <w:rFonts w:ascii="Arial 12" w:hAnsi="Arial 12"/>
          <w:sz w:val="24"/>
          <w:szCs w:val="24"/>
        </w:rPr>
      </w:pPr>
      <w:r w:rsidRPr="003729B2">
        <w:rPr>
          <w:rFonts w:ascii="Arial 12" w:hAnsi="Arial 12"/>
          <w:sz w:val="24"/>
          <w:szCs w:val="24"/>
        </w:rPr>
        <w:t>mediante la acción coordinada entre el Estado, las organizaciones de la sociedad civil y las</w:t>
      </w:r>
    </w:p>
    <w:p w14:paraId="4DCB452E" w14:textId="77777777" w:rsidR="009A0DA1" w:rsidRPr="003729B2" w:rsidRDefault="009A0DA1" w:rsidP="009A0DA1">
      <w:pPr>
        <w:jc w:val="both"/>
        <w:rPr>
          <w:rFonts w:ascii="Arial 12" w:hAnsi="Arial 12"/>
          <w:sz w:val="24"/>
          <w:szCs w:val="24"/>
        </w:rPr>
      </w:pPr>
      <w:r w:rsidRPr="003729B2">
        <w:rPr>
          <w:rFonts w:ascii="Arial 12" w:hAnsi="Arial 12"/>
          <w:sz w:val="24"/>
          <w:szCs w:val="24"/>
        </w:rPr>
        <w:t>autoridades tradicionales indígenas será posible salvaguardar el invaluable patrimonio</w:t>
      </w:r>
    </w:p>
    <w:p w14:paraId="0A29D027" w14:textId="77777777" w:rsidR="009A0DA1" w:rsidRPr="003729B2" w:rsidRDefault="009A0DA1" w:rsidP="009A0DA1">
      <w:pPr>
        <w:jc w:val="both"/>
        <w:rPr>
          <w:rFonts w:ascii="Arial 12" w:hAnsi="Arial 12"/>
          <w:sz w:val="24"/>
          <w:szCs w:val="24"/>
        </w:rPr>
      </w:pPr>
      <w:r w:rsidRPr="003729B2">
        <w:rPr>
          <w:rFonts w:ascii="Arial 12" w:hAnsi="Arial 12"/>
          <w:sz w:val="24"/>
          <w:szCs w:val="24"/>
        </w:rPr>
        <w:t>biológico y cultural del Guainía.</w:t>
      </w:r>
    </w:p>
    <w:p w14:paraId="012324DD" w14:textId="77777777" w:rsidR="009A0DA1" w:rsidRPr="003729B2" w:rsidRDefault="009A0DA1" w:rsidP="009A0DA1">
      <w:pPr>
        <w:jc w:val="both"/>
        <w:rPr>
          <w:rFonts w:ascii="Arial 12" w:hAnsi="Arial 12"/>
          <w:sz w:val="24"/>
          <w:szCs w:val="24"/>
        </w:rPr>
      </w:pPr>
    </w:p>
    <w:p w14:paraId="3C49EAB5" w14:textId="77777777" w:rsidR="009A0DA1" w:rsidRPr="003729B2" w:rsidRDefault="009A0DA1" w:rsidP="009A0DA1">
      <w:pPr>
        <w:jc w:val="both"/>
        <w:rPr>
          <w:rFonts w:ascii="Arial 12" w:hAnsi="Arial 12"/>
          <w:sz w:val="24"/>
          <w:szCs w:val="24"/>
        </w:rPr>
      </w:pPr>
      <w:r w:rsidRPr="003729B2">
        <w:rPr>
          <w:rFonts w:ascii="Arial 12" w:hAnsi="Arial 12"/>
          <w:sz w:val="24"/>
          <w:szCs w:val="24"/>
        </w:rPr>
        <w:t>Referencias</w:t>
      </w:r>
    </w:p>
    <w:p w14:paraId="7ABDF2F9" w14:textId="77777777" w:rsidR="009A0DA1" w:rsidRPr="003729B2" w:rsidRDefault="009A0DA1" w:rsidP="009A0DA1">
      <w:pPr>
        <w:jc w:val="both"/>
        <w:rPr>
          <w:rFonts w:ascii="Arial 12" w:hAnsi="Arial 12"/>
          <w:sz w:val="24"/>
          <w:szCs w:val="24"/>
        </w:rPr>
      </w:pPr>
    </w:p>
    <w:p w14:paraId="641F423A" w14:textId="77777777" w:rsidR="009A0DA1" w:rsidRPr="003729B2" w:rsidRDefault="009A0DA1" w:rsidP="009A0DA1">
      <w:pPr>
        <w:jc w:val="both"/>
        <w:rPr>
          <w:rFonts w:ascii="Arial 12" w:hAnsi="Arial 12"/>
          <w:sz w:val="24"/>
          <w:szCs w:val="24"/>
        </w:rPr>
      </w:pPr>
      <w:r w:rsidRPr="003729B2">
        <w:rPr>
          <w:rFonts w:ascii="Arial 12" w:hAnsi="Arial 12"/>
          <w:sz w:val="24"/>
          <w:szCs w:val="24"/>
        </w:rPr>
        <w:t xml:space="preserve">Defensoría del Pueblo. (2020). Alerta Temprana </w:t>
      </w:r>
      <w:proofErr w:type="spellStart"/>
      <w:r w:rsidRPr="003729B2">
        <w:rPr>
          <w:rFonts w:ascii="Arial 12" w:hAnsi="Arial 12"/>
          <w:sz w:val="24"/>
          <w:szCs w:val="24"/>
        </w:rPr>
        <w:t>N°</w:t>
      </w:r>
      <w:proofErr w:type="spellEnd"/>
      <w:r w:rsidRPr="003729B2">
        <w:rPr>
          <w:rFonts w:ascii="Arial 12" w:hAnsi="Arial 12"/>
          <w:sz w:val="24"/>
          <w:szCs w:val="24"/>
        </w:rPr>
        <w:t xml:space="preserve"> 018-2020 de Inminencia. Sistema de</w:t>
      </w:r>
    </w:p>
    <w:p w14:paraId="1E3C8A02" w14:textId="77777777" w:rsidR="009A0DA1" w:rsidRPr="003729B2" w:rsidRDefault="009A0DA1" w:rsidP="009A0DA1">
      <w:pPr>
        <w:jc w:val="both"/>
        <w:rPr>
          <w:rFonts w:ascii="Arial 12" w:hAnsi="Arial 12"/>
          <w:sz w:val="24"/>
          <w:szCs w:val="24"/>
        </w:rPr>
      </w:pPr>
      <w:r w:rsidRPr="003729B2">
        <w:rPr>
          <w:rFonts w:ascii="Arial 12" w:hAnsi="Arial 12"/>
          <w:sz w:val="24"/>
          <w:szCs w:val="24"/>
        </w:rPr>
        <w:t>Alertas Tempranas (SAT). Bogotá, Colombia.</w:t>
      </w:r>
    </w:p>
    <w:p w14:paraId="13872786" w14:textId="77777777" w:rsidR="009A0DA1" w:rsidRPr="003729B2" w:rsidRDefault="009A0DA1" w:rsidP="009A0DA1">
      <w:pPr>
        <w:jc w:val="both"/>
        <w:rPr>
          <w:rFonts w:ascii="Arial 12" w:hAnsi="Arial 12"/>
          <w:sz w:val="24"/>
          <w:szCs w:val="24"/>
        </w:rPr>
      </w:pPr>
    </w:p>
    <w:p w14:paraId="43040D61" w14:textId="77777777" w:rsidR="009A0DA1" w:rsidRPr="003729B2" w:rsidRDefault="009A0DA1" w:rsidP="009A0DA1">
      <w:pPr>
        <w:jc w:val="both"/>
        <w:rPr>
          <w:rFonts w:ascii="Arial 12" w:hAnsi="Arial 12"/>
          <w:sz w:val="24"/>
          <w:szCs w:val="24"/>
        </w:rPr>
      </w:pPr>
      <w:r w:rsidRPr="003729B2">
        <w:rPr>
          <w:rFonts w:ascii="Arial 12" w:hAnsi="Arial 12"/>
          <w:sz w:val="24"/>
          <w:szCs w:val="24"/>
        </w:rPr>
        <w:t xml:space="preserve">Defensoría del Pueblo. (2023). Alerta Temprana Estructural </w:t>
      </w:r>
      <w:proofErr w:type="spellStart"/>
      <w:r w:rsidRPr="003729B2">
        <w:rPr>
          <w:rFonts w:ascii="Arial 12" w:hAnsi="Arial 12"/>
          <w:sz w:val="24"/>
          <w:szCs w:val="24"/>
        </w:rPr>
        <w:t>N°</w:t>
      </w:r>
      <w:proofErr w:type="spellEnd"/>
      <w:r w:rsidRPr="003729B2">
        <w:rPr>
          <w:rFonts w:ascii="Arial 12" w:hAnsi="Arial 12"/>
          <w:sz w:val="24"/>
          <w:szCs w:val="24"/>
        </w:rPr>
        <w:t xml:space="preserve"> 003-2023: Municipio de</w:t>
      </w:r>
    </w:p>
    <w:p w14:paraId="0D8229F1" w14:textId="77777777" w:rsidR="009A0DA1" w:rsidRPr="003729B2" w:rsidRDefault="009A0DA1" w:rsidP="009A0DA1">
      <w:pPr>
        <w:jc w:val="both"/>
        <w:rPr>
          <w:rFonts w:ascii="Arial 12" w:hAnsi="Arial 12"/>
          <w:sz w:val="24"/>
          <w:szCs w:val="24"/>
        </w:rPr>
      </w:pPr>
      <w:r w:rsidRPr="003729B2">
        <w:rPr>
          <w:rFonts w:ascii="Arial 12" w:hAnsi="Arial 12"/>
          <w:sz w:val="24"/>
          <w:szCs w:val="24"/>
        </w:rPr>
        <w:t>Inírida y Áreas No Municipalizadas de Cacahual, Puerto Colombia, San Felipe y La</w:t>
      </w:r>
    </w:p>
    <w:p w14:paraId="558FC503" w14:textId="77777777" w:rsidR="009A0DA1" w:rsidRPr="003729B2" w:rsidRDefault="009A0DA1" w:rsidP="009A0DA1">
      <w:pPr>
        <w:jc w:val="both"/>
        <w:rPr>
          <w:rFonts w:ascii="Arial 12" w:hAnsi="Arial 12"/>
          <w:sz w:val="24"/>
          <w:szCs w:val="24"/>
        </w:rPr>
      </w:pPr>
      <w:r w:rsidRPr="003729B2">
        <w:rPr>
          <w:rFonts w:ascii="Arial 12" w:hAnsi="Arial 12"/>
          <w:sz w:val="24"/>
          <w:szCs w:val="24"/>
        </w:rPr>
        <w:t>Guadalupe (Guainía). Sistema de Alertas Tempranas (SAT). Bogotá, Colombia.</w:t>
      </w:r>
    </w:p>
    <w:p w14:paraId="0785E25A" w14:textId="77777777" w:rsidR="009A0DA1" w:rsidRPr="003729B2" w:rsidRDefault="009A0DA1" w:rsidP="009A0DA1">
      <w:pPr>
        <w:jc w:val="both"/>
        <w:rPr>
          <w:rFonts w:ascii="Arial 12" w:hAnsi="Arial 12"/>
          <w:sz w:val="24"/>
          <w:szCs w:val="24"/>
        </w:rPr>
      </w:pPr>
    </w:p>
    <w:p w14:paraId="36495D81" w14:textId="77777777" w:rsidR="009A0DA1" w:rsidRPr="003729B2" w:rsidRDefault="009A0DA1" w:rsidP="009A0DA1">
      <w:pPr>
        <w:jc w:val="both"/>
        <w:rPr>
          <w:rFonts w:ascii="Arial 12" w:hAnsi="Arial 12"/>
          <w:sz w:val="24"/>
          <w:szCs w:val="24"/>
        </w:rPr>
      </w:pPr>
      <w:r w:rsidRPr="003729B2">
        <w:rPr>
          <w:rFonts w:ascii="Arial 12" w:hAnsi="Arial 12"/>
          <w:sz w:val="24"/>
          <w:szCs w:val="24"/>
        </w:rPr>
        <w:t>Departamento Administrativo Nacional de Estadística [DANE]. (2019). Resultados del Censo</w:t>
      </w:r>
    </w:p>
    <w:p w14:paraId="3794EA4A" w14:textId="77777777" w:rsidR="009A0DA1" w:rsidRPr="003729B2" w:rsidRDefault="009A0DA1" w:rsidP="009A0DA1">
      <w:pPr>
        <w:jc w:val="both"/>
        <w:rPr>
          <w:rFonts w:ascii="Arial 12" w:hAnsi="Arial 12"/>
          <w:sz w:val="24"/>
          <w:szCs w:val="24"/>
        </w:rPr>
      </w:pPr>
      <w:r w:rsidRPr="003729B2">
        <w:rPr>
          <w:rFonts w:ascii="Arial 12" w:hAnsi="Arial 12"/>
          <w:sz w:val="24"/>
          <w:szCs w:val="24"/>
        </w:rPr>
        <w:t>Nacional de Población y Vivienda 2018: Grupos étnicos e indicadores</w:t>
      </w:r>
    </w:p>
    <w:p w14:paraId="66ECFD36" w14:textId="77777777" w:rsidR="009A0DA1" w:rsidRPr="003729B2" w:rsidRDefault="009A0DA1" w:rsidP="009A0DA1">
      <w:pPr>
        <w:jc w:val="both"/>
        <w:rPr>
          <w:rFonts w:ascii="Arial 12" w:hAnsi="Arial 12"/>
          <w:sz w:val="24"/>
          <w:szCs w:val="24"/>
        </w:rPr>
      </w:pPr>
      <w:r w:rsidRPr="003729B2">
        <w:rPr>
          <w:rFonts w:ascii="Arial 12" w:hAnsi="Arial 12"/>
          <w:sz w:val="24"/>
          <w:szCs w:val="24"/>
        </w:rPr>
        <w:t>departamentales. Bogotá, Colombia.</w:t>
      </w:r>
    </w:p>
    <w:p w14:paraId="2CBAE2C6" w14:textId="77777777" w:rsidR="009A0DA1" w:rsidRPr="003729B2" w:rsidRDefault="009A0DA1" w:rsidP="009A0DA1">
      <w:pPr>
        <w:jc w:val="both"/>
        <w:rPr>
          <w:rFonts w:ascii="Arial 12" w:hAnsi="Arial 12"/>
          <w:sz w:val="24"/>
          <w:szCs w:val="24"/>
        </w:rPr>
      </w:pPr>
    </w:p>
    <w:p w14:paraId="189A9DD3" w14:textId="77777777" w:rsidR="009A0DA1" w:rsidRPr="003729B2" w:rsidRDefault="009A0DA1" w:rsidP="009A0DA1">
      <w:pPr>
        <w:jc w:val="both"/>
        <w:rPr>
          <w:rFonts w:ascii="Arial 12" w:hAnsi="Arial 12"/>
          <w:sz w:val="24"/>
          <w:szCs w:val="24"/>
        </w:rPr>
      </w:pPr>
      <w:r w:rsidRPr="003729B2">
        <w:rPr>
          <w:rFonts w:ascii="Arial 12" w:hAnsi="Arial 12"/>
          <w:sz w:val="24"/>
          <w:szCs w:val="24"/>
        </w:rPr>
        <w:t>Ley 191 de 1995. Por medio de la cual se dictan disposiciones sobre Zonas de Frontera y se</w:t>
      </w:r>
    </w:p>
    <w:p w14:paraId="7EA55D99" w14:textId="77777777" w:rsidR="009A0DA1" w:rsidRPr="003729B2" w:rsidRDefault="009A0DA1" w:rsidP="009A0DA1">
      <w:pPr>
        <w:jc w:val="both"/>
        <w:rPr>
          <w:rFonts w:ascii="Arial 12" w:hAnsi="Arial 12"/>
          <w:sz w:val="24"/>
          <w:szCs w:val="24"/>
        </w:rPr>
      </w:pPr>
      <w:r w:rsidRPr="003729B2">
        <w:rPr>
          <w:rFonts w:ascii="Arial 12" w:hAnsi="Arial 12"/>
          <w:sz w:val="24"/>
          <w:szCs w:val="24"/>
        </w:rPr>
        <w:t>dictan otras disposiciones. 23 de junio de 1995. D.O. No. 41.903.</w:t>
      </w:r>
    </w:p>
    <w:p w14:paraId="2904AE65" w14:textId="77777777" w:rsidR="009A0DA1" w:rsidRPr="003729B2" w:rsidRDefault="009A0DA1" w:rsidP="009A0DA1">
      <w:pPr>
        <w:jc w:val="both"/>
        <w:rPr>
          <w:rFonts w:ascii="Arial 12" w:hAnsi="Arial 12"/>
          <w:sz w:val="24"/>
          <w:szCs w:val="24"/>
        </w:rPr>
      </w:pPr>
    </w:p>
    <w:p w14:paraId="33A31D40" w14:textId="77777777" w:rsidR="009A0DA1" w:rsidRPr="003729B2" w:rsidRDefault="009A0DA1" w:rsidP="009A0DA1">
      <w:pPr>
        <w:jc w:val="both"/>
        <w:rPr>
          <w:rFonts w:ascii="Arial 12" w:hAnsi="Arial 12"/>
          <w:sz w:val="24"/>
          <w:szCs w:val="24"/>
        </w:rPr>
      </w:pPr>
      <w:r w:rsidRPr="003729B2">
        <w:rPr>
          <w:rFonts w:ascii="Arial 12" w:hAnsi="Arial 12"/>
          <w:sz w:val="24"/>
          <w:szCs w:val="24"/>
        </w:rPr>
        <w:t>Oficina de las Naciones Unidas contra la Droga y el Delito [UNODC] &amp;</w:t>
      </w:r>
      <w:proofErr w:type="spellStart"/>
      <w:r w:rsidRPr="003729B2">
        <w:rPr>
          <w:rFonts w:ascii="Arial 12" w:hAnsi="Arial 12"/>
          <w:sz w:val="24"/>
          <w:szCs w:val="24"/>
        </w:rPr>
        <w:t>amp</w:t>
      </w:r>
      <w:proofErr w:type="spellEnd"/>
      <w:r w:rsidRPr="003729B2">
        <w:rPr>
          <w:rFonts w:ascii="Arial 12" w:hAnsi="Arial 12"/>
          <w:sz w:val="24"/>
          <w:szCs w:val="24"/>
        </w:rPr>
        <w:t>; Sistema Integrado</w:t>
      </w:r>
    </w:p>
    <w:p w14:paraId="13A601CF" w14:textId="77777777" w:rsidR="009A0DA1" w:rsidRPr="003729B2" w:rsidRDefault="009A0DA1" w:rsidP="009A0DA1">
      <w:pPr>
        <w:jc w:val="both"/>
        <w:rPr>
          <w:rFonts w:ascii="Arial 12" w:hAnsi="Arial 12"/>
          <w:sz w:val="24"/>
          <w:szCs w:val="24"/>
        </w:rPr>
      </w:pPr>
      <w:r w:rsidRPr="003729B2">
        <w:rPr>
          <w:rFonts w:ascii="Arial 12" w:hAnsi="Arial 12"/>
          <w:sz w:val="24"/>
          <w:szCs w:val="24"/>
        </w:rPr>
        <w:t>de Monitoreo de Cultivos Ilícitos [SIMCI]. (2021). Colombia: Explotación de oro de</w:t>
      </w:r>
    </w:p>
    <w:p w14:paraId="64AE15BC" w14:textId="62A028B4" w:rsidR="00ED1223" w:rsidRPr="009A0DA1" w:rsidRDefault="009A0DA1" w:rsidP="009A0DA1">
      <w:pPr>
        <w:jc w:val="both"/>
      </w:pPr>
      <w:r w:rsidRPr="003729B2">
        <w:rPr>
          <w:rFonts w:ascii="Arial 12" w:hAnsi="Arial 12"/>
          <w:sz w:val="24"/>
          <w:szCs w:val="24"/>
        </w:rPr>
        <w:t>aluvión: Evidencias a partir de percepción remota 2020. UN</w:t>
      </w:r>
      <w:r>
        <w:t>ODC. Viena, Austria.</w:t>
      </w:r>
    </w:p>
    <w:sectPr w:rsidR="00ED1223" w:rsidRPr="009A0D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12">
    <w:altName w:val="Arial"/>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A013F5"/>
    <w:multiLevelType w:val="multilevel"/>
    <w:tmpl w:val="A2F04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4F088F"/>
    <w:multiLevelType w:val="multilevel"/>
    <w:tmpl w:val="218A2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2512108">
    <w:abstractNumId w:val="1"/>
  </w:num>
  <w:num w:numId="2" w16cid:durableId="67190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DA1"/>
    <w:rsid w:val="00133DD5"/>
    <w:rsid w:val="003729B2"/>
    <w:rsid w:val="006D6352"/>
    <w:rsid w:val="0088174D"/>
    <w:rsid w:val="009A0DA1"/>
    <w:rsid w:val="00ED1223"/>
    <w:rsid w:val="00FD76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C9D09"/>
  <w15:chartTrackingRefBased/>
  <w15:docId w15:val="{722EEE54-749B-47C2-A253-D7418E0A3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A0D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9A0D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9A0DA1"/>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9A0DA1"/>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9A0DA1"/>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9A0DA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A0DA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A0DA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A0DA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A0DA1"/>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9A0DA1"/>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9A0DA1"/>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9A0DA1"/>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9A0DA1"/>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9A0DA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A0DA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A0DA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A0DA1"/>
    <w:rPr>
      <w:rFonts w:eastAsiaTheme="majorEastAsia" w:cstheme="majorBidi"/>
      <w:color w:val="272727" w:themeColor="text1" w:themeTint="D8"/>
    </w:rPr>
  </w:style>
  <w:style w:type="paragraph" w:styleId="Ttulo">
    <w:name w:val="Title"/>
    <w:basedOn w:val="Normal"/>
    <w:next w:val="Normal"/>
    <w:link w:val="TtuloCar"/>
    <w:uiPriority w:val="10"/>
    <w:qFormat/>
    <w:rsid w:val="009A0D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A0DA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A0DA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A0DA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A0DA1"/>
    <w:pPr>
      <w:spacing w:before="160"/>
      <w:jc w:val="center"/>
    </w:pPr>
    <w:rPr>
      <w:i/>
      <w:iCs/>
      <w:color w:val="404040" w:themeColor="text1" w:themeTint="BF"/>
    </w:rPr>
  </w:style>
  <w:style w:type="character" w:customStyle="1" w:styleId="CitaCar">
    <w:name w:val="Cita Car"/>
    <w:basedOn w:val="Fuentedeprrafopredeter"/>
    <w:link w:val="Cita"/>
    <w:uiPriority w:val="29"/>
    <w:rsid w:val="009A0DA1"/>
    <w:rPr>
      <w:i/>
      <w:iCs/>
      <w:color w:val="404040" w:themeColor="text1" w:themeTint="BF"/>
    </w:rPr>
  </w:style>
  <w:style w:type="paragraph" w:styleId="Prrafodelista">
    <w:name w:val="List Paragraph"/>
    <w:basedOn w:val="Normal"/>
    <w:uiPriority w:val="34"/>
    <w:qFormat/>
    <w:rsid w:val="009A0DA1"/>
    <w:pPr>
      <w:ind w:left="720"/>
      <w:contextualSpacing/>
    </w:pPr>
  </w:style>
  <w:style w:type="character" w:styleId="nfasisintenso">
    <w:name w:val="Intense Emphasis"/>
    <w:basedOn w:val="Fuentedeprrafopredeter"/>
    <w:uiPriority w:val="21"/>
    <w:qFormat/>
    <w:rsid w:val="009A0DA1"/>
    <w:rPr>
      <w:i/>
      <w:iCs/>
      <w:color w:val="2F5496" w:themeColor="accent1" w:themeShade="BF"/>
    </w:rPr>
  </w:style>
  <w:style w:type="paragraph" w:styleId="Citadestacada">
    <w:name w:val="Intense Quote"/>
    <w:basedOn w:val="Normal"/>
    <w:next w:val="Normal"/>
    <w:link w:val="CitadestacadaCar"/>
    <w:uiPriority w:val="30"/>
    <w:qFormat/>
    <w:rsid w:val="009A0D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9A0DA1"/>
    <w:rPr>
      <w:i/>
      <w:iCs/>
      <w:color w:val="2F5496" w:themeColor="accent1" w:themeShade="BF"/>
    </w:rPr>
  </w:style>
  <w:style w:type="character" w:styleId="Referenciaintensa">
    <w:name w:val="Intense Reference"/>
    <w:basedOn w:val="Fuentedeprrafopredeter"/>
    <w:uiPriority w:val="32"/>
    <w:qFormat/>
    <w:rsid w:val="009A0DA1"/>
    <w:rPr>
      <w:b/>
      <w:bCs/>
      <w:smallCaps/>
      <w:color w:val="2F5496" w:themeColor="accent1" w:themeShade="BF"/>
      <w:spacing w:val="5"/>
    </w:rPr>
  </w:style>
  <w:style w:type="paragraph" w:customStyle="1" w:styleId="paragraph">
    <w:name w:val="paragraph"/>
    <w:basedOn w:val="Normal"/>
    <w:rsid w:val="003729B2"/>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ormaltextrun">
    <w:name w:val="normaltextrun"/>
    <w:basedOn w:val="Fuentedeprrafopredeter"/>
    <w:rsid w:val="003729B2"/>
  </w:style>
  <w:style w:type="character" w:customStyle="1" w:styleId="eop">
    <w:name w:val="eop"/>
    <w:basedOn w:val="Fuentedeprrafopredeter"/>
    <w:rsid w:val="00372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Props1.xml><?xml version="1.0" encoding="utf-8"?>
<ds:datastoreItem xmlns:ds="http://schemas.openxmlformats.org/officeDocument/2006/customXml" ds:itemID="{9DDEA92F-1D4D-4F0C-AD4F-AC68D7F5AD42}"/>
</file>

<file path=customXml/itemProps2.xml><?xml version="1.0" encoding="utf-8"?>
<ds:datastoreItem xmlns:ds="http://schemas.openxmlformats.org/officeDocument/2006/customXml" ds:itemID="{F7FF9EED-35AD-4C1D-8014-94C6AF115F3F}"/>
</file>

<file path=customXml/itemProps3.xml><?xml version="1.0" encoding="utf-8"?>
<ds:datastoreItem xmlns:ds="http://schemas.openxmlformats.org/officeDocument/2006/customXml" ds:itemID="{E786337F-C192-4C1C-8E9E-C856F757D9BE}"/>
</file>

<file path=docProps/app.xml><?xml version="1.0" encoding="utf-8"?>
<Properties xmlns="http://schemas.openxmlformats.org/officeDocument/2006/extended-properties" xmlns:vt="http://schemas.openxmlformats.org/officeDocument/2006/docPropsVTypes">
  <Template>Normal</Template>
  <TotalTime>18</TotalTime>
  <Pages>11</Pages>
  <Words>3024</Words>
  <Characters>16632</Characters>
  <Application>Microsoft Office Word</Application>
  <DocSecurity>0</DocSecurity>
  <Lines>138</Lines>
  <Paragraphs>39</Paragraphs>
  <ScaleCrop>false</ScaleCrop>
  <Company/>
  <LinksUpToDate>false</LinksUpToDate>
  <CharactersWithSpaces>19617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Cristancho</dc:creator>
  <cp:keywords/>
  <dc:description/>
  <cp:lastModifiedBy>Victor Cristancho</cp:lastModifiedBy>
  <cp:revision>3</cp:revision>
  <dcterms:created xsi:type="dcterms:W3CDTF">2026-06-02T21:24:00Z</dcterms:created>
  <dcterms:modified xsi:type="dcterms:W3CDTF">2026-06-03T13:22:00Z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ies>
</file>